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E2E18" w14:textId="0D12C1D2" w:rsidR="004A2165" w:rsidRPr="0016558A" w:rsidRDefault="004A2165" w:rsidP="004A0460">
      <w:pPr>
        <w:pStyle w:val="Caption"/>
        <w:rPr>
          <w:rFonts w:cs="Arial"/>
        </w:rPr>
      </w:pPr>
      <w:bookmarkStart w:id="0" w:name="_GoBack"/>
      <w:bookmarkEnd w:id="0"/>
    </w:p>
    <w:p w14:paraId="1E1B2124" w14:textId="56279B02" w:rsidR="009516F1" w:rsidRPr="001F1AD2" w:rsidRDefault="00F4367A" w:rsidP="00F1356F">
      <w:pPr>
        <w:tabs>
          <w:tab w:val="left" w:pos="2268"/>
          <w:tab w:val="left" w:pos="4536"/>
          <w:tab w:val="left" w:pos="5387"/>
        </w:tabs>
        <w:ind w:left="2268" w:right="386" w:hanging="2268"/>
        <w:rPr>
          <w:rStyle w:val="Firstpagetablebold"/>
        </w:rPr>
      </w:pPr>
      <w:r w:rsidRPr="001F1AD2">
        <w:rPr>
          <w:rStyle w:val="Firstpagetablebold"/>
        </w:rPr>
        <w:t xml:space="preserve">To: </w:t>
      </w:r>
      <w:r w:rsidR="00A852FA" w:rsidRPr="001F1AD2">
        <w:rPr>
          <w:rStyle w:val="Firstpagetablebold"/>
        </w:rPr>
        <w:tab/>
      </w:r>
      <w:r w:rsidR="005320B5" w:rsidRPr="001F1AD2">
        <w:rPr>
          <w:rStyle w:val="Firstpagetablebold"/>
        </w:rPr>
        <w:t>Cabinet</w:t>
      </w:r>
      <w:r w:rsidR="000306A5" w:rsidRPr="001F1AD2">
        <w:rPr>
          <w:rStyle w:val="Firstpagetablebold"/>
        </w:rPr>
        <w:tab/>
        <w:t>Date:</w:t>
      </w:r>
      <w:r w:rsidR="000306A5" w:rsidRPr="001F1AD2">
        <w:rPr>
          <w:rStyle w:val="Firstpagetablebold"/>
        </w:rPr>
        <w:tab/>
      </w:r>
      <w:r w:rsidR="00EE67A8">
        <w:rPr>
          <w:rStyle w:val="Firstpagetablebold"/>
        </w:rPr>
        <w:t xml:space="preserve">8 </w:t>
      </w:r>
      <w:r w:rsidR="00A852FA" w:rsidRPr="001F1AD2">
        <w:rPr>
          <w:rStyle w:val="Firstpagetablebold"/>
        </w:rPr>
        <w:t>February 202</w:t>
      </w:r>
      <w:r w:rsidR="00583428">
        <w:rPr>
          <w:rStyle w:val="Firstpagetablebold"/>
        </w:rPr>
        <w:t>3</w:t>
      </w:r>
    </w:p>
    <w:p w14:paraId="6E8F04F9" w14:textId="6471974C" w:rsidR="009516F1" w:rsidRPr="0016558A" w:rsidRDefault="00A852FA" w:rsidP="008A7B3E">
      <w:pPr>
        <w:tabs>
          <w:tab w:val="left" w:pos="2268"/>
          <w:tab w:val="left" w:pos="4536"/>
          <w:tab w:val="left" w:pos="5387"/>
        </w:tabs>
        <w:ind w:left="2268" w:right="386" w:hanging="2268"/>
        <w:rPr>
          <w:rStyle w:val="Firstpagetablebold"/>
        </w:rPr>
      </w:pPr>
      <w:r w:rsidRPr="001F1AD2">
        <w:rPr>
          <w:rStyle w:val="Firstpagetablebold"/>
        </w:rPr>
        <w:t xml:space="preserve">To: </w:t>
      </w:r>
      <w:r w:rsidRPr="001F1AD2">
        <w:rPr>
          <w:rStyle w:val="Firstpagetablebold"/>
        </w:rPr>
        <w:tab/>
      </w:r>
      <w:r w:rsidR="00E26C07" w:rsidRPr="001F1AD2">
        <w:rPr>
          <w:rStyle w:val="Firstpagetablebold"/>
        </w:rPr>
        <w:t>Council</w:t>
      </w:r>
      <w:r w:rsidR="00F4367A" w:rsidRPr="001F1AD2">
        <w:rPr>
          <w:rStyle w:val="Firstpagetablebold"/>
        </w:rPr>
        <w:tab/>
      </w:r>
      <w:r w:rsidR="000306A5" w:rsidRPr="001F1AD2">
        <w:rPr>
          <w:rStyle w:val="Firstpagetablebold"/>
        </w:rPr>
        <w:t>Date:</w:t>
      </w:r>
      <w:r w:rsidR="000306A5" w:rsidRPr="001F1AD2">
        <w:rPr>
          <w:rStyle w:val="Firstpagetablebold"/>
        </w:rPr>
        <w:tab/>
        <w:t>1</w:t>
      </w:r>
      <w:r w:rsidR="001F1AD2" w:rsidRPr="001F1AD2">
        <w:rPr>
          <w:rStyle w:val="Firstpagetablebold"/>
        </w:rPr>
        <w:t>6</w:t>
      </w:r>
      <w:r w:rsidRPr="001F1AD2">
        <w:rPr>
          <w:rStyle w:val="Firstpagetablebold"/>
        </w:rPr>
        <w:t xml:space="preserve"> February 202</w:t>
      </w:r>
      <w:r w:rsidR="00583428">
        <w:rPr>
          <w:rStyle w:val="Firstpagetablebold"/>
        </w:rPr>
        <w:t>3</w:t>
      </w:r>
    </w:p>
    <w:p w14:paraId="7FBEBA51" w14:textId="77777777" w:rsidR="009516F1" w:rsidRPr="0016558A" w:rsidRDefault="00A852FA" w:rsidP="00F1356F">
      <w:pPr>
        <w:tabs>
          <w:tab w:val="left" w:pos="709"/>
          <w:tab w:val="left" w:pos="2268"/>
          <w:tab w:val="left" w:pos="4536"/>
          <w:tab w:val="left" w:pos="5387"/>
        </w:tabs>
        <w:ind w:left="2268" w:right="386" w:hanging="2268"/>
        <w:rPr>
          <w:b/>
        </w:rPr>
      </w:pPr>
      <w:r w:rsidRPr="0016558A">
        <w:rPr>
          <w:rStyle w:val="Firstpagetablebold"/>
        </w:rPr>
        <w:t xml:space="preserve">Report of: </w:t>
      </w:r>
      <w:r w:rsidR="009516F1" w:rsidRPr="0016558A">
        <w:rPr>
          <w:rStyle w:val="Firstpagetablebold"/>
        </w:rPr>
        <w:tab/>
      </w:r>
      <w:r w:rsidR="002A3493" w:rsidRPr="0016558A">
        <w:rPr>
          <w:rStyle w:val="Firstpagetablebold"/>
        </w:rPr>
        <w:t>Head of Financ</w:t>
      </w:r>
      <w:r w:rsidR="00DB01CD" w:rsidRPr="0016558A">
        <w:rPr>
          <w:rStyle w:val="Firstpagetablebold"/>
        </w:rPr>
        <w:t>ial Services</w:t>
      </w:r>
    </w:p>
    <w:p w14:paraId="52FEAAFD" w14:textId="77777777" w:rsidR="009516F1" w:rsidRDefault="009516F1" w:rsidP="00F1356F">
      <w:pPr>
        <w:pStyle w:val="Heading1"/>
        <w:tabs>
          <w:tab w:val="left" w:pos="2268"/>
        </w:tabs>
        <w:ind w:left="2268" w:hanging="2268"/>
        <w:rPr>
          <w:rStyle w:val="Firstpagetablebold"/>
          <w:b/>
        </w:rPr>
      </w:pPr>
      <w:r w:rsidRPr="0016558A">
        <w:rPr>
          <w:rStyle w:val="Firstpagetablebold"/>
          <w:b/>
        </w:rPr>
        <w:t>Title of Report:</w:t>
      </w:r>
      <w:r w:rsidRPr="0016558A">
        <w:rPr>
          <w:rStyle w:val="Firstpagetablebold"/>
          <w:b/>
        </w:rPr>
        <w:tab/>
      </w:r>
      <w:r w:rsidR="00E0139B" w:rsidRPr="0016558A">
        <w:rPr>
          <w:rStyle w:val="Firstpagetablebold"/>
          <w:b/>
        </w:rPr>
        <w:t xml:space="preserve">Medium Term Financial Strategy </w:t>
      </w:r>
      <w:r w:rsidR="00E9541D" w:rsidRPr="0016558A">
        <w:rPr>
          <w:rStyle w:val="Firstpagetablebold"/>
          <w:b/>
        </w:rPr>
        <w:t>20</w:t>
      </w:r>
      <w:r w:rsidR="00CF2D02" w:rsidRPr="0016558A">
        <w:rPr>
          <w:rStyle w:val="Firstpagetablebold"/>
          <w:b/>
        </w:rPr>
        <w:t>2</w:t>
      </w:r>
      <w:r w:rsidR="00583428">
        <w:rPr>
          <w:rStyle w:val="Firstpagetablebold"/>
          <w:b/>
        </w:rPr>
        <w:t>4</w:t>
      </w:r>
      <w:r w:rsidR="00E9541D" w:rsidRPr="0016558A">
        <w:rPr>
          <w:rStyle w:val="Firstpagetablebold"/>
          <w:b/>
        </w:rPr>
        <w:t>-</w:t>
      </w:r>
      <w:r w:rsidR="00BD3238" w:rsidRPr="0016558A">
        <w:rPr>
          <w:rStyle w:val="Firstpagetablebold"/>
          <w:b/>
        </w:rPr>
        <w:t>2</w:t>
      </w:r>
      <w:r w:rsidR="00583428">
        <w:rPr>
          <w:rStyle w:val="Firstpagetablebold"/>
          <w:b/>
        </w:rPr>
        <w:t>5</w:t>
      </w:r>
      <w:r w:rsidR="00E9541D" w:rsidRPr="0016558A">
        <w:rPr>
          <w:rStyle w:val="Firstpagetablebold"/>
          <w:b/>
        </w:rPr>
        <w:t xml:space="preserve"> to 20</w:t>
      </w:r>
      <w:r w:rsidR="00F1764E" w:rsidRPr="0016558A">
        <w:rPr>
          <w:rStyle w:val="Firstpagetablebold"/>
          <w:b/>
        </w:rPr>
        <w:t>2</w:t>
      </w:r>
      <w:r w:rsidR="00583428">
        <w:rPr>
          <w:rStyle w:val="Firstpagetablebold"/>
          <w:b/>
        </w:rPr>
        <w:t>6</w:t>
      </w:r>
      <w:r w:rsidR="00E9541D" w:rsidRPr="0016558A">
        <w:rPr>
          <w:rStyle w:val="Firstpagetablebold"/>
          <w:b/>
        </w:rPr>
        <w:t>-</w:t>
      </w:r>
      <w:r w:rsidR="00DB01CD" w:rsidRPr="0016558A">
        <w:rPr>
          <w:rStyle w:val="Firstpagetablebold"/>
          <w:b/>
        </w:rPr>
        <w:t>2</w:t>
      </w:r>
      <w:r w:rsidR="00583428">
        <w:rPr>
          <w:rStyle w:val="Firstpagetablebold"/>
          <w:b/>
        </w:rPr>
        <w:t>7</w:t>
      </w:r>
      <w:r w:rsidR="00E9541D" w:rsidRPr="0016558A">
        <w:rPr>
          <w:rStyle w:val="Firstpagetablebold"/>
          <w:b/>
        </w:rPr>
        <w:t xml:space="preserve"> </w:t>
      </w:r>
      <w:r w:rsidR="00E0139B" w:rsidRPr="0016558A">
        <w:rPr>
          <w:rStyle w:val="Firstpagetablebold"/>
          <w:b/>
        </w:rPr>
        <w:t xml:space="preserve">and </w:t>
      </w:r>
      <w:r w:rsidR="00E9541D" w:rsidRPr="0016558A">
        <w:rPr>
          <w:rStyle w:val="Firstpagetablebold"/>
          <w:b/>
        </w:rPr>
        <w:t>20</w:t>
      </w:r>
      <w:r w:rsidR="00BA64B9" w:rsidRPr="0016558A">
        <w:rPr>
          <w:rStyle w:val="Firstpagetablebold"/>
          <w:b/>
        </w:rPr>
        <w:t>2</w:t>
      </w:r>
      <w:r w:rsidR="00583428">
        <w:rPr>
          <w:rStyle w:val="Firstpagetablebold"/>
          <w:b/>
        </w:rPr>
        <w:t>3</w:t>
      </w:r>
      <w:r w:rsidR="00E9541D" w:rsidRPr="0016558A">
        <w:rPr>
          <w:rStyle w:val="Firstpagetablebold"/>
          <w:b/>
        </w:rPr>
        <w:t>-</w:t>
      </w:r>
      <w:r w:rsidR="00CF2D02" w:rsidRPr="0016558A">
        <w:rPr>
          <w:rStyle w:val="Firstpagetablebold"/>
          <w:b/>
        </w:rPr>
        <w:t>2</w:t>
      </w:r>
      <w:r w:rsidR="00583428">
        <w:rPr>
          <w:rStyle w:val="Firstpagetablebold"/>
          <w:b/>
        </w:rPr>
        <w:t>4</w:t>
      </w:r>
      <w:r w:rsidR="00E9541D" w:rsidRPr="0016558A">
        <w:rPr>
          <w:rStyle w:val="Firstpagetablebold"/>
          <w:b/>
        </w:rPr>
        <w:t xml:space="preserve"> </w:t>
      </w:r>
      <w:r w:rsidR="00E0139B" w:rsidRPr="0016558A">
        <w:rPr>
          <w:rStyle w:val="Firstpagetablebold"/>
          <w:b/>
        </w:rPr>
        <w:t xml:space="preserve">Budget </w:t>
      </w:r>
    </w:p>
    <w:p w14:paraId="1917FF7F" w14:textId="77777777" w:rsidR="008874CA" w:rsidRPr="008874CA" w:rsidRDefault="008874CA" w:rsidP="008874CA"/>
    <w:tbl>
      <w:tblPr>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6"/>
        <w:gridCol w:w="2073"/>
        <w:gridCol w:w="6606"/>
      </w:tblGrid>
      <w:tr w:rsidR="008A7B3E" w14:paraId="38802A19" w14:textId="77777777" w:rsidTr="008A7B3E">
        <w:tc>
          <w:tcPr>
            <w:tcW w:w="9155" w:type="dxa"/>
            <w:gridSpan w:val="3"/>
            <w:tcBorders>
              <w:bottom w:val="single" w:sz="8" w:space="0" w:color="000000"/>
            </w:tcBorders>
            <w:hideMark/>
          </w:tcPr>
          <w:p w14:paraId="084E2222" w14:textId="77777777" w:rsidR="008A7B3E" w:rsidRDefault="008A7B3E" w:rsidP="008A7B3E">
            <w:pPr>
              <w:jc w:val="center"/>
              <w:rPr>
                <w:rStyle w:val="Firstpagetablebold"/>
              </w:rPr>
            </w:pPr>
            <w:r>
              <w:rPr>
                <w:rStyle w:val="Firstpagetablebold"/>
              </w:rPr>
              <w:t>Summary and recommendations</w:t>
            </w:r>
          </w:p>
        </w:tc>
      </w:tr>
      <w:tr w:rsidR="008A7B3E" w14:paraId="67F5744C" w14:textId="77777777" w:rsidTr="008A7B3E">
        <w:tc>
          <w:tcPr>
            <w:tcW w:w="2549" w:type="dxa"/>
            <w:gridSpan w:val="2"/>
            <w:tcBorders>
              <w:top w:val="single" w:sz="8" w:space="0" w:color="000000"/>
              <w:left w:val="single" w:sz="8" w:space="0" w:color="000000"/>
              <w:bottom w:val="nil"/>
              <w:right w:val="nil"/>
            </w:tcBorders>
            <w:hideMark/>
          </w:tcPr>
          <w:p w14:paraId="27DBE051" w14:textId="77777777" w:rsidR="008A7B3E" w:rsidRDefault="008A7B3E" w:rsidP="008A7B3E">
            <w:pPr>
              <w:rPr>
                <w:rStyle w:val="Firstpagetablebold"/>
              </w:rPr>
            </w:pPr>
            <w:r>
              <w:rPr>
                <w:rStyle w:val="Firstpagetablebold"/>
              </w:rPr>
              <w:t>Purpose of report:</w:t>
            </w:r>
          </w:p>
        </w:tc>
        <w:tc>
          <w:tcPr>
            <w:tcW w:w="6606" w:type="dxa"/>
            <w:tcBorders>
              <w:top w:val="single" w:sz="8" w:space="0" w:color="000000"/>
              <w:left w:val="nil"/>
              <w:bottom w:val="nil"/>
              <w:right w:val="single" w:sz="8" w:space="0" w:color="000000"/>
            </w:tcBorders>
            <w:hideMark/>
          </w:tcPr>
          <w:p w14:paraId="39395818" w14:textId="09FA8626" w:rsidR="008A7B3E" w:rsidRPr="001356F1" w:rsidRDefault="008A7B3E" w:rsidP="008A7B3E">
            <w:r w:rsidRPr="0016558A">
              <w:rPr>
                <w:rStyle w:val="Firstpagetablebold"/>
                <w:b w:val="0"/>
              </w:rPr>
              <w:t>To present the outcome of the budget consultation and agree the Council’s Medium Term Financial Strategy for 202</w:t>
            </w:r>
            <w:r>
              <w:rPr>
                <w:rStyle w:val="Firstpagetablebold"/>
                <w:b w:val="0"/>
              </w:rPr>
              <w:t>4</w:t>
            </w:r>
            <w:r w:rsidRPr="0016558A">
              <w:rPr>
                <w:rStyle w:val="Firstpagetablebold"/>
                <w:b w:val="0"/>
              </w:rPr>
              <w:t>-2</w:t>
            </w:r>
            <w:r>
              <w:rPr>
                <w:rStyle w:val="Firstpagetablebold"/>
                <w:b w:val="0"/>
              </w:rPr>
              <w:t>5</w:t>
            </w:r>
            <w:r w:rsidRPr="0016558A">
              <w:rPr>
                <w:rStyle w:val="Firstpagetablebold"/>
                <w:b w:val="0"/>
              </w:rPr>
              <w:t xml:space="preserve"> to 202</w:t>
            </w:r>
            <w:r>
              <w:rPr>
                <w:rStyle w:val="Firstpagetablebold"/>
                <w:b w:val="0"/>
              </w:rPr>
              <w:t>6</w:t>
            </w:r>
            <w:r w:rsidRPr="0016558A">
              <w:rPr>
                <w:rStyle w:val="Firstpagetablebold"/>
                <w:b w:val="0"/>
              </w:rPr>
              <w:t>-2</w:t>
            </w:r>
            <w:r w:rsidR="00C71CD0">
              <w:rPr>
                <w:rStyle w:val="Firstpagetablebold"/>
                <w:b w:val="0"/>
              </w:rPr>
              <w:t>7</w:t>
            </w:r>
            <w:r w:rsidRPr="0016558A">
              <w:rPr>
                <w:rStyle w:val="Firstpagetablebold"/>
                <w:b w:val="0"/>
              </w:rPr>
              <w:t xml:space="preserve"> and 20</w:t>
            </w:r>
            <w:r>
              <w:rPr>
                <w:rStyle w:val="Firstpagetablebold"/>
                <w:b w:val="0"/>
              </w:rPr>
              <w:t>23</w:t>
            </w:r>
            <w:r w:rsidRPr="0016558A">
              <w:rPr>
                <w:rStyle w:val="Firstpagetablebold"/>
                <w:b w:val="0"/>
              </w:rPr>
              <w:t>-2</w:t>
            </w:r>
            <w:r>
              <w:rPr>
                <w:rStyle w:val="Firstpagetablebold"/>
                <w:b w:val="0"/>
              </w:rPr>
              <w:t>4</w:t>
            </w:r>
            <w:r w:rsidRPr="0016558A">
              <w:rPr>
                <w:rStyle w:val="Firstpagetablebold"/>
                <w:b w:val="0"/>
              </w:rPr>
              <w:t xml:space="preserve"> Budget for recommendation to Council</w:t>
            </w:r>
            <w:r>
              <w:rPr>
                <w:rStyle w:val="Firstpagetablebold"/>
                <w:b w:val="0"/>
              </w:rPr>
              <w:t>.</w:t>
            </w:r>
          </w:p>
        </w:tc>
      </w:tr>
      <w:tr w:rsidR="008A7B3E" w14:paraId="4DD5C2C1" w14:textId="77777777" w:rsidTr="008A7B3E">
        <w:tc>
          <w:tcPr>
            <w:tcW w:w="2549" w:type="dxa"/>
            <w:gridSpan w:val="2"/>
            <w:tcBorders>
              <w:top w:val="nil"/>
              <w:left w:val="single" w:sz="8" w:space="0" w:color="000000"/>
              <w:bottom w:val="nil"/>
              <w:right w:val="nil"/>
            </w:tcBorders>
            <w:hideMark/>
          </w:tcPr>
          <w:p w14:paraId="4E7B70CF" w14:textId="77777777" w:rsidR="008A7B3E" w:rsidRDefault="008A7B3E" w:rsidP="008A7B3E">
            <w:pPr>
              <w:rPr>
                <w:rStyle w:val="Firstpagetablebold"/>
              </w:rPr>
            </w:pPr>
            <w:r>
              <w:rPr>
                <w:rStyle w:val="Firstpagetablebold"/>
              </w:rPr>
              <w:t>Key decision:</w:t>
            </w:r>
          </w:p>
        </w:tc>
        <w:tc>
          <w:tcPr>
            <w:tcW w:w="6606" w:type="dxa"/>
            <w:tcBorders>
              <w:top w:val="nil"/>
              <w:left w:val="nil"/>
              <w:bottom w:val="nil"/>
              <w:right w:val="single" w:sz="8" w:space="0" w:color="000000"/>
            </w:tcBorders>
            <w:hideMark/>
          </w:tcPr>
          <w:p w14:paraId="70A38FEF" w14:textId="77777777" w:rsidR="008A7B3E" w:rsidRPr="001356F1" w:rsidRDefault="008A7B3E" w:rsidP="008A7B3E">
            <w:r>
              <w:t>Yes</w:t>
            </w:r>
          </w:p>
        </w:tc>
      </w:tr>
      <w:tr w:rsidR="008A7B3E" w14:paraId="66C00812" w14:textId="77777777" w:rsidTr="008A7B3E">
        <w:tc>
          <w:tcPr>
            <w:tcW w:w="2549" w:type="dxa"/>
            <w:gridSpan w:val="2"/>
            <w:tcBorders>
              <w:top w:val="nil"/>
              <w:left w:val="single" w:sz="8" w:space="0" w:color="000000"/>
              <w:bottom w:val="nil"/>
              <w:right w:val="nil"/>
            </w:tcBorders>
            <w:hideMark/>
          </w:tcPr>
          <w:p w14:paraId="1C9D3491" w14:textId="77777777" w:rsidR="008A7B3E" w:rsidRDefault="008A7B3E" w:rsidP="008A7B3E">
            <w:pPr>
              <w:rPr>
                <w:rStyle w:val="Firstpagetablebold"/>
              </w:rPr>
            </w:pPr>
            <w:r>
              <w:rPr>
                <w:rStyle w:val="Firstpagetablebold"/>
              </w:rPr>
              <w:t>Cabinet Member:</w:t>
            </w:r>
          </w:p>
        </w:tc>
        <w:tc>
          <w:tcPr>
            <w:tcW w:w="6606" w:type="dxa"/>
            <w:tcBorders>
              <w:top w:val="nil"/>
              <w:left w:val="nil"/>
              <w:bottom w:val="nil"/>
              <w:right w:val="single" w:sz="8" w:space="0" w:color="000000"/>
            </w:tcBorders>
            <w:hideMark/>
          </w:tcPr>
          <w:p w14:paraId="55F658F8" w14:textId="77777777" w:rsidR="008A7B3E" w:rsidRPr="001356F1" w:rsidRDefault="008A7B3E" w:rsidP="008A7B3E">
            <w:r w:rsidRPr="001356F1">
              <w:t xml:space="preserve">Councillor </w:t>
            </w:r>
            <w:r>
              <w:t xml:space="preserve">Ed Turner, </w:t>
            </w:r>
            <w:r w:rsidRPr="0016558A">
              <w:t>Deputy Leader and Cabinet Member for Finance and Asset Management</w:t>
            </w:r>
          </w:p>
        </w:tc>
      </w:tr>
      <w:tr w:rsidR="008A7B3E" w14:paraId="4507A031" w14:textId="77777777" w:rsidTr="008A7B3E">
        <w:tc>
          <w:tcPr>
            <w:tcW w:w="2549" w:type="dxa"/>
            <w:gridSpan w:val="2"/>
            <w:tcBorders>
              <w:top w:val="nil"/>
              <w:left w:val="single" w:sz="8" w:space="0" w:color="000000"/>
              <w:bottom w:val="nil"/>
              <w:right w:val="nil"/>
            </w:tcBorders>
            <w:hideMark/>
          </w:tcPr>
          <w:p w14:paraId="70027C8B" w14:textId="77777777" w:rsidR="008A7B3E" w:rsidRDefault="008A7B3E" w:rsidP="008A7B3E">
            <w:pPr>
              <w:rPr>
                <w:rStyle w:val="Firstpagetablebold"/>
              </w:rPr>
            </w:pPr>
            <w:r>
              <w:rPr>
                <w:rStyle w:val="Firstpagetablebold"/>
              </w:rPr>
              <w:t>Policy Framework:</w:t>
            </w:r>
          </w:p>
        </w:tc>
        <w:tc>
          <w:tcPr>
            <w:tcW w:w="6606" w:type="dxa"/>
            <w:tcBorders>
              <w:top w:val="nil"/>
              <w:left w:val="nil"/>
              <w:bottom w:val="nil"/>
              <w:right w:val="single" w:sz="8" w:space="0" w:color="000000"/>
            </w:tcBorders>
            <w:hideMark/>
          </w:tcPr>
          <w:p w14:paraId="2A70D0D1" w14:textId="77777777" w:rsidR="008A7B3E" w:rsidRPr="001356F1" w:rsidRDefault="008A7B3E" w:rsidP="008A7B3E">
            <w:r w:rsidRPr="0016558A">
              <w:rPr>
                <w:rStyle w:val="Firstpagetablebold"/>
                <w:b w:val="0"/>
              </w:rPr>
              <w:t>The budget is a Budget and Policy Framework document</w:t>
            </w:r>
          </w:p>
        </w:tc>
      </w:tr>
      <w:tr w:rsidR="008A7B3E" w:rsidRPr="00975B07" w14:paraId="248A7601" w14:textId="77777777" w:rsidTr="008A7B3E">
        <w:trPr>
          <w:trHeight w:val="413"/>
        </w:trPr>
        <w:tc>
          <w:tcPr>
            <w:tcW w:w="9155" w:type="dxa"/>
            <w:gridSpan w:val="3"/>
          </w:tcPr>
          <w:p w14:paraId="50994F77" w14:textId="350D95D0" w:rsidR="008A7B3E" w:rsidRPr="00975B07" w:rsidRDefault="008A7B3E" w:rsidP="008A7B3E">
            <w:r>
              <w:rPr>
                <w:rStyle w:val="Firstpagetablebold"/>
              </w:rPr>
              <w:t xml:space="preserve">Recommendations: </w:t>
            </w:r>
            <w:r w:rsidRPr="0016558A">
              <w:rPr>
                <w:rStyle w:val="Firstpagetablebold"/>
              </w:rPr>
              <w:t>Cabinet is asked to consider the outcome of the public consultation, agree the amendments to the Consultation Budget and recommend that Council resolves to:</w:t>
            </w:r>
          </w:p>
        </w:tc>
      </w:tr>
      <w:tr w:rsidR="008A7B3E" w:rsidRPr="00975B07" w14:paraId="6D20F6F1" w14:textId="77777777" w:rsidTr="008A7B3E">
        <w:trPr>
          <w:trHeight w:val="413"/>
        </w:trPr>
        <w:tc>
          <w:tcPr>
            <w:tcW w:w="476" w:type="dxa"/>
            <w:tcBorders>
              <w:right w:val="nil"/>
            </w:tcBorders>
          </w:tcPr>
          <w:p w14:paraId="6EDDBBCF" w14:textId="77777777" w:rsidR="008A7B3E" w:rsidRDefault="008A7B3E" w:rsidP="008A7B3E">
            <w:pPr>
              <w:rPr>
                <w:rFonts w:cs="Arial"/>
                <w:color w:val="auto"/>
                <w:lang w:eastAsia="en-US"/>
              </w:rPr>
            </w:pPr>
            <w:r>
              <w:rPr>
                <w:rFonts w:cs="Arial"/>
                <w:color w:val="auto"/>
                <w:lang w:eastAsia="en-US"/>
              </w:rPr>
              <w:t>1.</w:t>
            </w:r>
            <w:r w:rsidRPr="00C61FFA">
              <w:rPr>
                <w:rFonts w:cs="Arial"/>
                <w:color w:val="auto"/>
                <w:lang w:eastAsia="en-US"/>
              </w:rPr>
              <w:t xml:space="preserve"> </w:t>
            </w:r>
          </w:p>
          <w:p w14:paraId="4B7ADDEC" w14:textId="77777777" w:rsidR="008A7B3E" w:rsidRDefault="008A7B3E" w:rsidP="008A7B3E">
            <w:pPr>
              <w:rPr>
                <w:rFonts w:cs="Arial"/>
                <w:color w:val="auto"/>
                <w:lang w:eastAsia="en-US"/>
              </w:rPr>
            </w:pPr>
          </w:p>
        </w:tc>
        <w:tc>
          <w:tcPr>
            <w:tcW w:w="8679" w:type="dxa"/>
            <w:gridSpan w:val="2"/>
            <w:tcBorders>
              <w:left w:val="nil"/>
            </w:tcBorders>
          </w:tcPr>
          <w:p w14:paraId="43A08BF6" w14:textId="77777777" w:rsidR="008A7B3E" w:rsidRDefault="008A7B3E" w:rsidP="008A7B3E">
            <w:pPr>
              <w:rPr>
                <w:rFonts w:cs="Arial"/>
                <w:color w:val="auto"/>
                <w:lang w:eastAsia="en-US"/>
              </w:rPr>
            </w:pPr>
            <w:r w:rsidRPr="005248F5">
              <w:rPr>
                <w:rFonts w:cs="Arial"/>
                <w:b/>
                <w:color w:val="auto"/>
                <w:lang w:eastAsia="en-US"/>
              </w:rPr>
              <w:t>Approve</w:t>
            </w:r>
            <w:r w:rsidRPr="00C61FFA">
              <w:rPr>
                <w:rFonts w:cs="Arial"/>
                <w:color w:val="auto"/>
                <w:lang w:eastAsia="en-US"/>
              </w:rPr>
              <w:t xml:space="preserve"> the 202</w:t>
            </w:r>
            <w:r>
              <w:rPr>
                <w:rFonts w:cs="Arial"/>
                <w:color w:val="auto"/>
                <w:lang w:eastAsia="en-US"/>
              </w:rPr>
              <w:t>3</w:t>
            </w:r>
            <w:r w:rsidRPr="00C61FFA">
              <w:rPr>
                <w:rFonts w:cs="Arial"/>
                <w:color w:val="auto"/>
                <w:lang w:eastAsia="en-US"/>
              </w:rPr>
              <w:t>-2</w:t>
            </w:r>
            <w:r>
              <w:rPr>
                <w:rFonts w:cs="Arial"/>
                <w:color w:val="auto"/>
                <w:lang w:eastAsia="en-US"/>
              </w:rPr>
              <w:t>4</w:t>
            </w:r>
            <w:r w:rsidRPr="00C61FFA">
              <w:rPr>
                <w:rFonts w:cs="Arial"/>
                <w:color w:val="auto"/>
                <w:lang w:eastAsia="en-US"/>
              </w:rPr>
              <w:t xml:space="preserve"> General Fund and Housing Re</w:t>
            </w:r>
            <w:r>
              <w:rPr>
                <w:rFonts w:cs="Arial"/>
                <w:color w:val="auto"/>
                <w:lang w:eastAsia="en-US"/>
              </w:rPr>
              <w:t>venue Account budgets and the General Fund and</w:t>
            </w:r>
            <w:r w:rsidRPr="00C61FFA">
              <w:rPr>
                <w:rFonts w:cs="Arial"/>
                <w:color w:val="auto"/>
                <w:lang w:eastAsia="en-US"/>
              </w:rPr>
              <w:t xml:space="preserve"> Housing Revenue Account </w:t>
            </w:r>
            <w:r w:rsidRPr="0080059B">
              <w:rPr>
                <w:rFonts w:cs="Arial"/>
                <w:color w:val="auto"/>
                <w:lang w:eastAsia="en-US"/>
              </w:rPr>
              <w:t>Medium Term Financial Strategy as set</w:t>
            </w:r>
            <w:r>
              <w:rPr>
                <w:rFonts w:cs="Arial"/>
                <w:color w:val="auto"/>
                <w:lang w:eastAsia="en-US"/>
              </w:rPr>
              <w:t xml:space="preserve"> out in  Appendices 1-9, noting</w:t>
            </w:r>
            <w:r w:rsidRPr="0080059B">
              <w:rPr>
                <w:rFonts w:cs="Arial"/>
                <w:color w:val="auto"/>
                <w:lang w:eastAsia="en-US"/>
              </w:rPr>
              <w:t>:</w:t>
            </w:r>
          </w:p>
          <w:p w14:paraId="0126456C" w14:textId="17624BF6" w:rsidR="008A7B3E" w:rsidRPr="00C61FFA" w:rsidRDefault="008A7B3E" w:rsidP="008A7B3E">
            <w:pPr>
              <w:tabs>
                <w:tab w:val="left" w:pos="567"/>
                <w:tab w:val="left" w:pos="3048"/>
              </w:tabs>
              <w:spacing w:after="0"/>
              <w:ind w:left="291" w:right="386" w:hanging="291"/>
              <w:rPr>
                <w:rFonts w:cs="Arial"/>
                <w:color w:val="auto"/>
                <w:lang w:eastAsia="en-US"/>
              </w:rPr>
            </w:pPr>
            <w:r w:rsidRPr="00E93BBC">
              <w:rPr>
                <w:rFonts w:cs="Arial"/>
                <w:color w:val="auto"/>
                <w:lang w:eastAsia="en-US"/>
              </w:rPr>
              <w:t>a) the Council’s General Fund Budget Requirement of £24.</w:t>
            </w:r>
            <w:r>
              <w:rPr>
                <w:rFonts w:cs="Arial"/>
                <w:color w:val="auto"/>
                <w:lang w:eastAsia="en-US"/>
              </w:rPr>
              <w:t>793</w:t>
            </w:r>
            <w:r w:rsidRPr="00E93BBC">
              <w:rPr>
                <w:rFonts w:cs="Arial"/>
                <w:color w:val="auto"/>
                <w:lang w:eastAsia="en-US"/>
              </w:rPr>
              <w:t xml:space="preserve"> million for   2023/24 and an increase in the Band D Council Tax of 2.99%</w:t>
            </w:r>
            <w:r w:rsidRPr="00B54839">
              <w:rPr>
                <w:rFonts w:cs="Arial"/>
                <w:color w:val="auto"/>
                <w:lang w:eastAsia="en-US"/>
              </w:rPr>
              <w:t xml:space="preserve"> or £9.76 per annum representing a Band D Council Tax of £336.31 per annum</w:t>
            </w:r>
            <w:r>
              <w:rPr>
                <w:rFonts w:cs="Arial"/>
                <w:color w:val="auto"/>
                <w:lang w:eastAsia="en-US"/>
              </w:rPr>
              <w:t>;</w:t>
            </w:r>
          </w:p>
          <w:p w14:paraId="3441E6AC" w14:textId="77777777" w:rsidR="008A7B3E" w:rsidRPr="00C61FFA" w:rsidRDefault="008A7B3E" w:rsidP="008A7B3E">
            <w:pPr>
              <w:tabs>
                <w:tab w:val="left" w:pos="567"/>
                <w:tab w:val="left" w:pos="3048"/>
              </w:tabs>
              <w:spacing w:after="0"/>
              <w:ind w:right="386"/>
              <w:rPr>
                <w:rFonts w:cs="Arial"/>
                <w:color w:val="auto"/>
                <w:lang w:eastAsia="en-US"/>
              </w:rPr>
            </w:pPr>
          </w:p>
          <w:p w14:paraId="5F3B354B" w14:textId="069A2ED6" w:rsidR="008A7B3E" w:rsidRDefault="008A7B3E" w:rsidP="008A7B3E">
            <w:pPr>
              <w:spacing w:after="0"/>
              <w:ind w:left="319" w:right="386" w:hanging="434"/>
              <w:rPr>
                <w:rFonts w:cs="Arial"/>
                <w:color w:val="auto"/>
                <w:lang w:eastAsia="en-US"/>
              </w:rPr>
            </w:pPr>
            <w:r>
              <w:rPr>
                <w:rFonts w:cs="Arial"/>
                <w:color w:val="auto"/>
                <w:lang w:eastAsia="en-US"/>
              </w:rPr>
              <w:lastRenderedPageBreak/>
              <w:t xml:space="preserve">  </w:t>
            </w:r>
            <w:r w:rsidRPr="00D235F4">
              <w:rPr>
                <w:rFonts w:cs="Arial"/>
                <w:color w:val="auto"/>
                <w:lang w:eastAsia="en-US"/>
              </w:rPr>
              <w:t>b) the Housing Revenue Account budget for 2023/24 of £51.572</w:t>
            </w:r>
            <w:r w:rsidRPr="00C61FFA">
              <w:rPr>
                <w:rFonts w:cs="Arial"/>
                <w:color w:val="auto"/>
                <w:lang w:eastAsia="en-US"/>
              </w:rPr>
              <w:t xml:space="preserve"> million and an increase of </w:t>
            </w:r>
            <w:r>
              <w:rPr>
                <w:rFonts w:cs="Arial"/>
                <w:color w:val="auto"/>
                <w:lang w:eastAsia="en-US"/>
              </w:rPr>
              <w:t>7</w:t>
            </w:r>
            <w:r w:rsidRPr="00C61FFA">
              <w:rPr>
                <w:rFonts w:cs="Arial"/>
                <w:color w:val="auto"/>
                <w:lang w:eastAsia="en-US"/>
              </w:rPr>
              <w:t>% (£</w:t>
            </w:r>
            <w:r>
              <w:rPr>
                <w:rFonts w:cs="Arial"/>
                <w:color w:val="auto"/>
                <w:lang w:eastAsia="en-US"/>
              </w:rPr>
              <w:t>7</w:t>
            </w:r>
            <w:r w:rsidRPr="00C61FFA">
              <w:rPr>
                <w:rFonts w:cs="Arial"/>
                <w:color w:val="auto"/>
                <w:lang w:eastAsia="en-US"/>
              </w:rPr>
              <w:t>.51 per week) in social dwelling rents from 1 April 202</w:t>
            </w:r>
            <w:r>
              <w:rPr>
                <w:rFonts w:cs="Arial"/>
                <w:color w:val="auto"/>
                <w:lang w:eastAsia="en-US"/>
              </w:rPr>
              <w:t>3</w:t>
            </w:r>
            <w:r w:rsidRPr="00C61FFA">
              <w:rPr>
                <w:rFonts w:cs="Arial"/>
                <w:color w:val="auto"/>
                <w:lang w:eastAsia="en-US"/>
              </w:rPr>
              <w:t xml:space="preserve"> giving a revised weekly average social rent of £11</w:t>
            </w:r>
            <w:r>
              <w:rPr>
                <w:rFonts w:cs="Arial"/>
                <w:color w:val="auto"/>
                <w:lang w:eastAsia="en-US"/>
              </w:rPr>
              <w:t>4</w:t>
            </w:r>
            <w:r w:rsidRPr="00C61FFA">
              <w:rPr>
                <w:rFonts w:cs="Arial"/>
                <w:color w:val="auto"/>
                <w:lang w:eastAsia="en-US"/>
              </w:rPr>
              <w:t>.</w:t>
            </w:r>
            <w:r>
              <w:rPr>
                <w:rFonts w:cs="Arial"/>
                <w:color w:val="auto"/>
                <w:lang w:eastAsia="en-US"/>
              </w:rPr>
              <w:t>73</w:t>
            </w:r>
            <w:r w:rsidRPr="00C61FFA">
              <w:rPr>
                <w:rFonts w:cs="Arial"/>
                <w:color w:val="auto"/>
                <w:lang w:eastAsia="en-US"/>
              </w:rPr>
              <w:t xml:space="preserve"> as set out in Appendix 5</w:t>
            </w:r>
            <w:r>
              <w:rPr>
                <w:rFonts w:cs="Arial"/>
                <w:color w:val="auto"/>
                <w:lang w:eastAsia="en-US"/>
              </w:rPr>
              <w:t>;</w:t>
            </w:r>
          </w:p>
          <w:p w14:paraId="7D78574C" w14:textId="77777777" w:rsidR="008A7B3E" w:rsidRPr="00C61FFA" w:rsidRDefault="008A7B3E" w:rsidP="008A7B3E">
            <w:pPr>
              <w:spacing w:after="0"/>
              <w:ind w:left="319" w:right="386" w:hanging="434"/>
              <w:rPr>
                <w:rFonts w:cs="Arial"/>
                <w:color w:val="auto"/>
                <w:lang w:eastAsia="en-US"/>
              </w:rPr>
            </w:pPr>
          </w:p>
          <w:p w14:paraId="0CB9E710" w14:textId="2E6CE407" w:rsidR="008A7B3E" w:rsidRPr="00C61FFA" w:rsidRDefault="008A7B3E" w:rsidP="008A7B3E">
            <w:pPr>
              <w:tabs>
                <w:tab w:val="left" w:pos="567"/>
              </w:tabs>
              <w:spacing w:after="0"/>
              <w:ind w:left="361" w:right="386" w:hanging="322"/>
              <w:rPr>
                <w:rFonts w:cs="Arial"/>
                <w:color w:val="auto"/>
                <w:lang w:eastAsia="en-US"/>
              </w:rPr>
            </w:pPr>
            <w:r w:rsidRPr="00C61FFA">
              <w:rPr>
                <w:rFonts w:cs="Arial"/>
                <w:color w:val="auto"/>
                <w:lang w:eastAsia="en-US"/>
              </w:rPr>
              <w:t xml:space="preserve">c) </w:t>
            </w:r>
            <w:r>
              <w:rPr>
                <w:rFonts w:cs="Arial"/>
                <w:color w:val="auto"/>
                <w:lang w:eastAsia="en-US"/>
              </w:rPr>
              <w:t xml:space="preserve">shared ownership dwellings are increased in line with those of other social rents as discussed in </w:t>
            </w:r>
            <w:r w:rsidRPr="00D235F4">
              <w:rPr>
                <w:rFonts w:cs="Arial"/>
                <w:color w:val="auto"/>
                <w:lang w:eastAsia="en-US"/>
              </w:rPr>
              <w:t xml:space="preserve">paragraph </w:t>
            </w:r>
            <w:r w:rsidR="00B6267F">
              <w:rPr>
                <w:rFonts w:cs="Arial"/>
                <w:color w:val="auto"/>
                <w:lang w:eastAsia="en-US"/>
              </w:rPr>
              <w:t>39</w:t>
            </w:r>
            <w:r>
              <w:rPr>
                <w:rFonts w:cs="Arial"/>
                <w:color w:val="auto"/>
                <w:lang w:eastAsia="en-US"/>
              </w:rPr>
              <w:t>;</w:t>
            </w:r>
          </w:p>
          <w:p w14:paraId="52E20C61" w14:textId="77777777" w:rsidR="008A7B3E" w:rsidRDefault="008A7B3E" w:rsidP="008A7B3E">
            <w:pPr>
              <w:tabs>
                <w:tab w:val="left" w:pos="567"/>
                <w:tab w:val="left" w:pos="3048"/>
              </w:tabs>
              <w:spacing w:after="0"/>
              <w:ind w:right="386"/>
              <w:rPr>
                <w:rFonts w:cs="Arial"/>
                <w:color w:val="auto"/>
                <w:lang w:eastAsia="en-US"/>
              </w:rPr>
            </w:pPr>
          </w:p>
          <w:p w14:paraId="4501CE96" w14:textId="77777777" w:rsidR="008A7B3E" w:rsidRDefault="008A7B3E" w:rsidP="008A7B3E">
            <w:pPr>
              <w:tabs>
                <w:tab w:val="left" w:pos="567"/>
                <w:tab w:val="left" w:pos="3048"/>
              </w:tabs>
              <w:spacing w:after="0"/>
              <w:ind w:left="361" w:right="386" w:hanging="361"/>
              <w:rPr>
                <w:rFonts w:cs="Arial"/>
                <w:color w:val="auto"/>
                <w:lang w:eastAsia="en-US"/>
              </w:rPr>
            </w:pPr>
            <w:r w:rsidRPr="00C61FFA">
              <w:rPr>
                <w:rFonts w:cs="Arial"/>
                <w:color w:val="auto"/>
                <w:lang w:eastAsia="en-US"/>
              </w:rPr>
              <w:t>d)  the General Fund and Housing Revenue Account Capital P</w:t>
            </w:r>
            <w:r>
              <w:rPr>
                <w:rFonts w:cs="Arial"/>
                <w:color w:val="auto"/>
                <w:lang w:eastAsia="en-US"/>
              </w:rPr>
              <w:t>rogramme as shown in Appendix 6;</w:t>
            </w:r>
          </w:p>
          <w:p w14:paraId="715F392A" w14:textId="77777777" w:rsidR="008A7B3E" w:rsidRPr="00872B69" w:rsidRDefault="008A7B3E" w:rsidP="008A7B3E">
            <w:pPr>
              <w:tabs>
                <w:tab w:val="left" w:pos="567"/>
                <w:tab w:val="left" w:pos="3048"/>
              </w:tabs>
              <w:spacing w:after="0"/>
              <w:ind w:left="361" w:right="386" w:hanging="361"/>
              <w:rPr>
                <w:rStyle w:val="Firstpagetablebold"/>
                <w:rFonts w:cs="Arial"/>
                <w:b w:val="0"/>
                <w:color w:val="auto"/>
                <w:lang w:eastAsia="en-US"/>
              </w:rPr>
            </w:pPr>
          </w:p>
        </w:tc>
      </w:tr>
      <w:tr w:rsidR="008A7B3E" w:rsidRPr="00975B07" w14:paraId="06978407" w14:textId="77777777" w:rsidTr="008A7B3E">
        <w:trPr>
          <w:trHeight w:val="413"/>
        </w:trPr>
        <w:tc>
          <w:tcPr>
            <w:tcW w:w="476" w:type="dxa"/>
            <w:tcBorders>
              <w:bottom w:val="single" w:sz="8" w:space="0" w:color="000000"/>
              <w:right w:val="nil"/>
            </w:tcBorders>
          </w:tcPr>
          <w:p w14:paraId="24AE70F7" w14:textId="77777777" w:rsidR="008A7B3E" w:rsidRDefault="008A7B3E" w:rsidP="008A7B3E">
            <w:pPr>
              <w:rPr>
                <w:rFonts w:cs="Arial"/>
                <w:color w:val="auto"/>
                <w:lang w:eastAsia="en-US"/>
              </w:rPr>
            </w:pPr>
            <w:r>
              <w:rPr>
                <w:rFonts w:cs="Arial"/>
                <w:color w:val="auto"/>
                <w:lang w:eastAsia="en-US"/>
              </w:rPr>
              <w:lastRenderedPageBreak/>
              <w:t>2.</w:t>
            </w:r>
          </w:p>
        </w:tc>
        <w:tc>
          <w:tcPr>
            <w:tcW w:w="8679" w:type="dxa"/>
            <w:gridSpan w:val="2"/>
            <w:tcBorders>
              <w:left w:val="nil"/>
              <w:bottom w:val="single" w:sz="8" w:space="0" w:color="000000"/>
            </w:tcBorders>
          </w:tcPr>
          <w:p w14:paraId="53307F7B" w14:textId="77777777" w:rsidR="008A7B3E" w:rsidRPr="00C61FFA" w:rsidRDefault="008A7B3E" w:rsidP="008A7B3E">
            <w:pPr>
              <w:rPr>
                <w:rFonts w:cs="Arial"/>
                <w:color w:val="auto"/>
                <w:lang w:eastAsia="en-US"/>
              </w:rPr>
            </w:pPr>
            <w:r w:rsidRPr="005248F5">
              <w:rPr>
                <w:rFonts w:cs="Arial"/>
                <w:b/>
                <w:color w:val="auto"/>
                <w:lang w:eastAsia="en-US"/>
              </w:rPr>
              <w:t>Agree</w:t>
            </w:r>
            <w:r w:rsidRPr="00C61FFA">
              <w:rPr>
                <w:rFonts w:cs="Arial"/>
                <w:color w:val="auto"/>
                <w:lang w:eastAsia="en-US"/>
              </w:rPr>
              <w:t xml:space="preserve"> the fees </w:t>
            </w:r>
            <w:r>
              <w:rPr>
                <w:rFonts w:cs="Arial"/>
                <w:color w:val="auto"/>
                <w:lang w:eastAsia="en-US"/>
              </w:rPr>
              <w:t>and charges shown in Appendix 7;</w:t>
            </w:r>
          </w:p>
        </w:tc>
      </w:tr>
    </w:tbl>
    <w:p w14:paraId="04D4B5C4" w14:textId="77777777" w:rsidR="008874CA" w:rsidRDefault="008874CA">
      <w:pPr>
        <w:sectPr w:rsidR="008874CA" w:rsidSect="00894084">
          <w:headerReference w:type="default" r:id="rId8"/>
          <w:footerReference w:type="default" r:id="rId9"/>
          <w:pgSz w:w="11906" w:h="16838" w:code="9"/>
          <w:pgMar w:top="1418" w:right="1304" w:bottom="1304" w:left="1843" w:header="709" w:footer="629" w:gutter="0"/>
          <w:cols w:space="708"/>
          <w:docGrid w:linePitch="360"/>
        </w:sectPr>
      </w:pPr>
    </w:p>
    <w:p w14:paraId="2FA7EEE8" w14:textId="5885171E" w:rsidR="008874CA" w:rsidRDefault="008874CA"/>
    <w:tbl>
      <w:tblPr>
        <w:tblW w:w="0" w:type="auto"/>
        <w:tblInd w:w="-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
        <w:gridCol w:w="8360"/>
      </w:tblGrid>
      <w:tr w:rsidR="008A7B3E" w:rsidRPr="00975B07" w14:paraId="610F7785" w14:textId="77777777" w:rsidTr="008874CA">
        <w:trPr>
          <w:trHeight w:val="413"/>
        </w:trPr>
        <w:tc>
          <w:tcPr>
            <w:tcW w:w="410" w:type="dxa"/>
            <w:tcBorders>
              <w:right w:val="nil"/>
            </w:tcBorders>
          </w:tcPr>
          <w:p w14:paraId="7DB0BB0F" w14:textId="77777777" w:rsidR="008A7B3E" w:rsidRDefault="008A7B3E" w:rsidP="008A7B3E">
            <w:pPr>
              <w:rPr>
                <w:rFonts w:cs="Arial"/>
                <w:color w:val="auto"/>
                <w:lang w:eastAsia="en-US"/>
              </w:rPr>
            </w:pPr>
            <w:r>
              <w:rPr>
                <w:rFonts w:cs="Arial"/>
                <w:color w:val="auto"/>
                <w:lang w:eastAsia="en-US"/>
              </w:rPr>
              <w:t>3.</w:t>
            </w:r>
          </w:p>
        </w:tc>
        <w:tc>
          <w:tcPr>
            <w:tcW w:w="8367" w:type="dxa"/>
            <w:tcBorders>
              <w:left w:val="nil"/>
            </w:tcBorders>
          </w:tcPr>
          <w:p w14:paraId="00052956" w14:textId="28A43159" w:rsidR="008A7B3E" w:rsidRPr="00C61FFA" w:rsidRDefault="008A7B3E" w:rsidP="008A7B3E">
            <w:pPr>
              <w:rPr>
                <w:rFonts w:cs="Arial"/>
                <w:color w:val="auto"/>
                <w:lang w:eastAsia="en-US"/>
              </w:rPr>
            </w:pPr>
            <w:r w:rsidRPr="005248F5">
              <w:rPr>
                <w:rFonts w:cs="Arial"/>
                <w:b/>
                <w:color w:val="auto"/>
                <w:lang w:eastAsia="en-US"/>
              </w:rPr>
              <w:t>Delegate</w:t>
            </w:r>
            <w:r w:rsidRPr="00C61FFA">
              <w:rPr>
                <w:rFonts w:cs="Arial"/>
                <w:color w:val="auto"/>
                <w:lang w:eastAsia="en-US"/>
              </w:rPr>
              <w:t xml:space="preserve"> to the Section 151 Office</w:t>
            </w:r>
            <w:r>
              <w:rPr>
                <w:rFonts w:cs="Arial"/>
                <w:color w:val="auto"/>
                <w:lang w:eastAsia="en-US"/>
              </w:rPr>
              <w:t xml:space="preserve">r, in consultation with the Deputy Leader (Statutory) - </w:t>
            </w:r>
            <w:r w:rsidRPr="00C61FFA">
              <w:rPr>
                <w:rFonts w:cs="Arial"/>
                <w:color w:val="auto"/>
                <w:lang w:eastAsia="en-US"/>
              </w:rPr>
              <w:t xml:space="preserve">Finance </w:t>
            </w:r>
            <w:r>
              <w:rPr>
                <w:rFonts w:cs="Arial"/>
                <w:color w:val="auto"/>
                <w:lang w:eastAsia="en-US"/>
              </w:rPr>
              <w:t>and Asset Management,</w:t>
            </w:r>
            <w:r w:rsidRPr="00C61FFA">
              <w:rPr>
                <w:rFonts w:cs="Arial"/>
                <w:color w:val="auto"/>
                <w:lang w:eastAsia="en-US"/>
              </w:rPr>
              <w:t xml:space="preserve"> the decision to determine whether it is financially advantageous for the Council to enter into a Business Rates Distribution Agreement as referred </w:t>
            </w:r>
            <w:r w:rsidRPr="000C5CC9">
              <w:rPr>
                <w:rFonts w:cs="Arial"/>
                <w:color w:val="auto"/>
                <w:lang w:eastAsia="en-US"/>
              </w:rPr>
              <w:t xml:space="preserve">to in </w:t>
            </w:r>
            <w:r w:rsidR="00054003">
              <w:rPr>
                <w:rFonts w:cs="Arial"/>
                <w:color w:val="auto"/>
                <w:lang w:eastAsia="en-US"/>
              </w:rPr>
              <w:t>paragraphs 20</w:t>
            </w:r>
            <w:r w:rsidRPr="00D235F4">
              <w:rPr>
                <w:rFonts w:cs="Arial"/>
                <w:color w:val="auto"/>
                <w:lang w:eastAsia="en-US"/>
              </w:rPr>
              <w:t>-</w:t>
            </w:r>
            <w:r w:rsidR="00054003">
              <w:rPr>
                <w:rFonts w:cs="Arial"/>
                <w:color w:val="auto"/>
                <w:lang w:eastAsia="en-US"/>
              </w:rPr>
              <w:t>22</w:t>
            </w:r>
            <w:r w:rsidRPr="00D235F4">
              <w:rPr>
                <w:rFonts w:cs="Arial"/>
                <w:color w:val="auto"/>
                <w:lang w:eastAsia="en-US"/>
              </w:rPr>
              <w:t xml:space="preserve"> of the report</w:t>
            </w:r>
            <w:r>
              <w:rPr>
                <w:rFonts w:cs="Arial"/>
                <w:color w:val="auto"/>
                <w:lang w:eastAsia="en-US"/>
              </w:rPr>
              <w:t>;</w:t>
            </w:r>
          </w:p>
        </w:tc>
      </w:tr>
      <w:tr w:rsidR="008A7B3E" w:rsidRPr="00975B07" w14:paraId="362CA2EA" w14:textId="77777777" w:rsidTr="008874CA">
        <w:trPr>
          <w:trHeight w:val="413"/>
        </w:trPr>
        <w:tc>
          <w:tcPr>
            <w:tcW w:w="410" w:type="dxa"/>
            <w:tcBorders>
              <w:right w:val="nil"/>
            </w:tcBorders>
          </w:tcPr>
          <w:p w14:paraId="29691AC3" w14:textId="77777777" w:rsidR="008A7B3E" w:rsidRDefault="008A7B3E" w:rsidP="008A7B3E">
            <w:pPr>
              <w:rPr>
                <w:rFonts w:cs="Arial"/>
                <w:color w:val="auto"/>
                <w:lang w:eastAsia="en-US"/>
              </w:rPr>
            </w:pPr>
            <w:r>
              <w:rPr>
                <w:rFonts w:cs="Arial"/>
                <w:color w:val="auto"/>
                <w:lang w:eastAsia="en-US"/>
              </w:rPr>
              <w:t>4.</w:t>
            </w:r>
          </w:p>
        </w:tc>
        <w:tc>
          <w:tcPr>
            <w:tcW w:w="8367" w:type="dxa"/>
            <w:tcBorders>
              <w:left w:val="nil"/>
            </w:tcBorders>
          </w:tcPr>
          <w:p w14:paraId="40346C54" w14:textId="02592601" w:rsidR="008A7B3E" w:rsidRPr="00C61FFA" w:rsidRDefault="008A7B3E" w:rsidP="008A7B3E">
            <w:pPr>
              <w:rPr>
                <w:rFonts w:cs="Arial"/>
                <w:color w:val="auto"/>
                <w:lang w:eastAsia="en-US"/>
              </w:rPr>
            </w:pPr>
            <w:r w:rsidRPr="005248F5">
              <w:rPr>
                <w:rFonts w:cs="Arial"/>
                <w:b/>
                <w:color w:val="auto"/>
                <w:lang w:eastAsia="en-US"/>
              </w:rPr>
              <w:t>Approve</w:t>
            </w:r>
            <w:r w:rsidRPr="00C61FFA">
              <w:rPr>
                <w:rFonts w:cs="Arial"/>
                <w:color w:val="auto"/>
                <w:lang w:eastAsia="en-US"/>
              </w:rPr>
              <w:t xml:space="preserve"> the payment into the County Council Pension Fund of £5 million in 2023-24 as referred </w:t>
            </w:r>
            <w:r w:rsidRPr="00B04216">
              <w:rPr>
                <w:rFonts w:cs="Arial"/>
                <w:color w:val="auto"/>
                <w:lang w:eastAsia="en-US"/>
              </w:rPr>
              <w:t xml:space="preserve">to </w:t>
            </w:r>
            <w:r w:rsidRPr="00D235F4">
              <w:rPr>
                <w:rFonts w:cs="Arial"/>
                <w:color w:val="auto"/>
                <w:lang w:eastAsia="en-US"/>
              </w:rPr>
              <w:t>in paragraph 2</w:t>
            </w:r>
            <w:r w:rsidR="00054003">
              <w:rPr>
                <w:rFonts w:cs="Arial"/>
                <w:color w:val="auto"/>
                <w:lang w:eastAsia="en-US"/>
              </w:rPr>
              <w:t>8</w:t>
            </w:r>
            <w:r w:rsidRPr="00B04216">
              <w:rPr>
                <w:rFonts w:cs="Arial"/>
                <w:color w:val="auto"/>
                <w:lang w:eastAsia="en-US"/>
              </w:rPr>
              <w:t xml:space="preserve"> of the report</w:t>
            </w:r>
            <w:r>
              <w:rPr>
                <w:rFonts w:cs="Arial"/>
                <w:color w:val="auto"/>
                <w:lang w:eastAsia="en-US"/>
              </w:rPr>
              <w:t>;</w:t>
            </w:r>
          </w:p>
        </w:tc>
      </w:tr>
      <w:tr w:rsidR="008A7B3E" w:rsidRPr="00975B07" w14:paraId="7F2537D3" w14:textId="77777777" w:rsidTr="008874CA">
        <w:trPr>
          <w:trHeight w:val="413"/>
        </w:trPr>
        <w:tc>
          <w:tcPr>
            <w:tcW w:w="410" w:type="dxa"/>
            <w:tcBorders>
              <w:right w:val="nil"/>
            </w:tcBorders>
          </w:tcPr>
          <w:p w14:paraId="6972C106" w14:textId="77777777" w:rsidR="008A7B3E" w:rsidRDefault="008A7B3E" w:rsidP="008A7B3E">
            <w:pPr>
              <w:rPr>
                <w:rFonts w:cs="Arial"/>
                <w:color w:val="auto"/>
                <w:lang w:eastAsia="en-US"/>
              </w:rPr>
            </w:pPr>
            <w:r>
              <w:rPr>
                <w:rFonts w:cs="Arial"/>
                <w:color w:val="auto"/>
                <w:lang w:eastAsia="en-US"/>
              </w:rPr>
              <w:t>5.</w:t>
            </w:r>
          </w:p>
        </w:tc>
        <w:tc>
          <w:tcPr>
            <w:tcW w:w="8367" w:type="dxa"/>
            <w:tcBorders>
              <w:left w:val="nil"/>
            </w:tcBorders>
          </w:tcPr>
          <w:p w14:paraId="7263F119" w14:textId="4BDA7A84" w:rsidR="008A7B3E" w:rsidRPr="00C61FFA" w:rsidRDefault="008A7B3E" w:rsidP="008A7B3E">
            <w:pPr>
              <w:rPr>
                <w:rFonts w:cs="Arial"/>
                <w:color w:val="auto"/>
                <w:lang w:eastAsia="en-US"/>
              </w:rPr>
            </w:pPr>
            <w:r w:rsidRPr="0068524E">
              <w:rPr>
                <w:rFonts w:cs="Arial"/>
                <w:b/>
              </w:rPr>
              <w:t>Implement</w:t>
            </w:r>
            <w:r w:rsidR="00C71CD0">
              <w:rPr>
                <w:rFonts w:cs="Arial"/>
              </w:rPr>
              <w:t xml:space="preserve"> the changes to Council T</w:t>
            </w:r>
            <w:r>
              <w:rPr>
                <w:rFonts w:cs="Arial"/>
              </w:rPr>
              <w:t xml:space="preserve">ax charges in respect of second homes and properties empty for more than one year as referred to in </w:t>
            </w:r>
            <w:r w:rsidRPr="00D95D56">
              <w:rPr>
                <w:rFonts w:cs="Arial"/>
              </w:rPr>
              <w:t>paragraphs 2</w:t>
            </w:r>
            <w:r>
              <w:rPr>
                <w:rFonts w:cs="Arial"/>
              </w:rPr>
              <w:t>3</w:t>
            </w:r>
            <w:r w:rsidRPr="00D95D56">
              <w:rPr>
                <w:rFonts w:cs="Arial"/>
              </w:rPr>
              <w:t>-2</w:t>
            </w:r>
            <w:r>
              <w:rPr>
                <w:rFonts w:cs="Arial"/>
              </w:rPr>
              <w:t>5</w:t>
            </w:r>
            <w:r w:rsidRPr="00D95D56">
              <w:rPr>
                <w:rFonts w:cs="Arial"/>
              </w:rPr>
              <w:t xml:space="preserve"> from</w:t>
            </w:r>
            <w:r>
              <w:rPr>
                <w:rFonts w:cs="Arial"/>
              </w:rPr>
              <w:t xml:space="preserve"> 1</w:t>
            </w:r>
            <w:r w:rsidRPr="001F158C">
              <w:rPr>
                <w:rFonts w:cs="Arial"/>
                <w:vertAlign w:val="superscript"/>
              </w:rPr>
              <w:t>st</w:t>
            </w:r>
            <w:r>
              <w:rPr>
                <w:rFonts w:cs="Arial"/>
              </w:rPr>
              <w:t xml:space="preserve"> April 2024 when the Levelling Up and Regeneration Bill is enacted;</w:t>
            </w:r>
          </w:p>
        </w:tc>
      </w:tr>
      <w:tr w:rsidR="008A7B3E" w:rsidRPr="00975B07" w14:paraId="19D9ED53" w14:textId="77777777" w:rsidTr="008874CA">
        <w:trPr>
          <w:trHeight w:val="413"/>
        </w:trPr>
        <w:tc>
          <w:tcPr>
            <w:tcW w:w="410" w:type="dxa"/>
            <w:tcBorders>
              <w:right w:val="nil"/>
            </w:tcBorders>
          </w:tcPr>
          <w:p w14:paraId="51DBA1A5" w14:textId="77777777" w:rsidR="008A7B3E" w:rsidRDefault="008A7B3E" w:rsidP="008A7B3E">
            <w:pPr>
              <w:rPr>
                <w:rFonts w:cs="Arial"/>
                <w:color w:val="auto"/>
                <w:lang w:eastAsia="en-US"/>
              </w:rPr>
            </w:pPr>
            <w:r>
              <w:rPr>
                <w:rFonts w:cs="Arial"/>
                <w:color w:val="auto"/>
                <w:lang w:eastAsia="en-US"/>
              </w:rPr>
              <w:t>6.</w:t>
            </w:r>
          </w:p>
        </w:tc>
        <w:tc>
          <w:tcPr>
            <w:tcW w:w="8367" w:type="dxa"/>
            <w:tcBorders>
              <w:left w:val="nil"/>
            </w:tcBorders>
          </w:tcPr>
          <w:p w14:paraId="71D52ADA" w14:textId="22F67268" w:rsidR="008A7B3E" w:rsidRPr="00C61FFA" w:rsidRDefault="008A7B3E" w:rsidP="008A7B3E">
            <w:pPr>
              <w:rPr>
                <w:rFonts w:cs="Arial"/>
                <w:color w:val="auto"/>
                <w:lang w:eastAsia="en-US"/>
              </w:rPr>
            </w:pPr>
            <w:r w:rsidRPr="0068524E">
              <w:rPr>
                <w:rFonts w:cs="Arial"/>
                <w:b/>
              </w:rPr>
              <w:t>Note</w:t>
            </w:r>
            <w:r>
              <w:rPr>
                <w:rFonts w:cs="Arial"/>
              </w:rPr>
              <w:t xml:space="preserve"> the application of the Council Tax Support Fund allocation as referred to in paragraph</w:t>
            </w:r>
            <w:r w:rsidR="00C71CD0">
              <w:rPr>
                <w:rFonts w:cs="Arial"/>
              </w:rPr>
              <w:t>s</w:t>
            </w:r>
            <w:r w:rsidR="002763F3">
              <w:rPr>
                <w:rFonts w:cs="Arial"/>
              </w:rPr>
              <w:t xml:space="preserve"> 11-14</w:t>
            </w:r>
            <w:r>
              <w:rPr>
                <w:rFonts w:cs="Arial"/>
              </w:rPr>
              <w:t xml:space="preserve"> below.</w:t>
            </w:r>
          </w:p>
        </w:tc>
      </w:tr>
    </w:tbl>
    <w:p w14:paraId="0EF2859A" w14:textId="77777777" w:rsidR="009516F1" w:rsidRPr="00013557" w:rsidRDefault="009516F1" w:rsidP="00013557">
      <w:pPr>
        <w:rPr>
          <w:b/>
          <w:bC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236"/>
      </w:tblGrid>
      <w:tr w:rsidR="008A7B3E" w:rsidRPr="00975B07" w14:paraId="5EFD5587" w14:textId="77777777" w:rsidTr="008874CA">
        <w:tc>
          <w:tcPr>
            <w:tcW w:w="8749" w:type="dxa"/>
            <w:gridSpan w:val="2"/>
            <w:tcBorders>
              <w:top w:val="single" w:sz="8" w:space="0" w:color="000000"/>
              <w:left w:val="single" w:sz="8" w:space="0" w:color="000000"/>
              <w:bottom w:val="single" w:sz="8" w:space="0" w:color="000000"/>
              <w:right w:val="single" w:sz="8" w:space="0" w:color="000000"/>
            </w:tcBorders>
            <w:shd w:val="clear" w:color="auto" w:fill="auto"/>
          </w:tcPr>
          <w:p w14:paraId="2A7ED6A6" w14:textId="77777777" w:rsidR="008A7B3E" w:rsidRPr="00975B07" w:rsidRDefault="008A7B3E" w:rsidP="008A7B3E">
            <w:pPr>
              <w:jc w:val="center"/>
            </w:pPr>
            <w:r w:rsidRPr="00745BF0">
              <w:rPr>
                <w:rStyle w:val="Firstpagetablebold"/>
              </w:rPr>
              <w:t>Appendices</w:t>
            </w:r>
          </w:p>
        </w:tc>
      </w:tr>
      <w:tr w:rsidR="008A7B3E" w:rsidRPr="00975B07" w14:paraId="24FACCEE" w14:textId="77777777" w:rsidTr="008874CA">
        <w:tc>
          <w:tcPr>
            <w:tcW w:w="2513" w:type="dxa"/>
            <w:tcBorders>
              <w:top w:val="single" w:sz="8" w:space="0" w:color="000000"/>
              <w:left w:val="single" w:sz="8" w:space="0" w:color="000000"/>
              <w:bottom w:val="nil"/>
              <w:right w:val="nil"/>
            </w:tcBorders>
            <w:shd w:val="clear" w:color="auto" w:fill="auto"/>
          </w:tcPr>
          <w:p w14:paraId="37C6FC5D" w14:textId="77777777" w:rsidR="008A7B3E" w:rsidRPr="00975B07" w:rsidRDefault="008A7B3E" w:rsidP="008A7B3E">
            <w:r>
              <w:t>Appendix 1</w:t>
            </w:r>
          </w:p>
        </w:tc>
        <w:tc>
          <w:tcPr>
            <w:tcW w:w="6236" w:type="dxa"/>
            <w:tcBorders>
              <w:top w:val="single" w:sz="8" w:space="0" w:color="000000"/>
              <w:left w:val="nil"/>
              <w:bottom w:val="nil"/>
              <w:right w:val="single" w:sz="8" w:space="0" w:color="000000"/>
            </w:tcBorders>
          </w:tcPr>
          <w:p w14:paraId="67CC558C" w14:textId="77777777" w:rsidR="008A7B3E" w:rsidRPr="001356F1" w:rsidRDefault="008A7B3E" w:rsidP="008A7B3E">
            <w:r w:rsidRPr="0016558A">
              <w:t>Summary of General Fund Budget by Service 202</w:t>
            </w:r>
            <w:r>
              <w:t>3</w:t>
            </w:r>
            <w:r w:rsidRPr="0016558A">
              <w:t>-2</w:t>
            </w:r>
            <w:r>
              <w:t>4</w:t>
            </w:r>
            <w:r w:rsidRPr="0016558A">
              <w:t xml:space="preserve"> to 202</w:t>
            </w:r>
            <w:r>
              <w:t>6</w:t>
            </w:r>
            <w:r w:rsidRPr="0016558A">
              <w:t>-2</w:t>
            </w:r>
            <w:r>
              <w:t>7</w:t>
            </w:r>
          </w:p>
        </w:tc>
      </w:tr>
      <w:tr w:rsidR="008A7B3E" w:rsidRPr="00975B07" w14:paraId="11F8BEF5" w14:textId="77777777" w:rsidTr="008874CA">
        <w:tc>
          <w:tcPr>
            <w:tcW w:w="2513" w:type="dxa"/>
            <w:tcBorders>
              <w:top w:val="nil"/>
              <w:left w:val="single" w:sz="8" w:space="0" w:color="000000"/>
              <w:bottom w:val="nil"/>
              <w:right w:val="nil"/>
            </w:tcBorders>
            <w:shd w:val="clear" w:color="auto" w:fill="auto"/>
          </w:tcPr>
          <w:p w14:paraId="44947D9C" w14:textId="77777777" w:rsidR="008A7B3E" w:rsidRDefault="008A7B3E" w:rsidP="008A7B3E">
            <w:r>
              <w:t>Appendix 2</w:t>
            </w:r>
          </w:p>
        </w:tc>
        <w:tc>
          <w:tcPr>
            <w:tcW w:w="6236" w:type="dxa"/>
            <w:tcBorders>
              <w:top w:val="nil"/>
              <w:left w:val="nil"/>
              <w:bottom w:val="nil"/>
              <w:right w:val="single" w:sz="8" w:space="0" w:color="000000"/>
            </w:tcBorders>
          </w:tcPr>
          <w:p w14:paraId="0FA39787" w14:textId="77777777" w:rsidR="008A7B3E" w:rsidRPr="001356F1" w:rsidRDefault="008A7B3E" w:rsidP="008A7B3E">
            <w:r w:rsidRPr="0016558A">
              <w:t>General Fund Revenue Budget by Service 202</w:t>
            </w:r>
            <w:r>
              <w:t>3</w:t>
            </w:r>
            <w:r w:rsidRPr="0016558A">
              <w:t>-2</w:t>
            </w:r>
            <w:r>
              <w:t>4</w:t>
            </w:r>
            <w:r w:rsidRPr="0016558A">
              <w:t xml:space="preserve"> to 202</w:t>
            </w:r>
            <w:r>
              <w:t>6</w:t>
            </w:r>
            <w:r w:rsidRPr="0016558A">
              <w:t>-2</w:t>
            </w:r>
            <w:r>
              <w:t>7</w:t>
            </w:r>
          </w:p>
        </w:tc>
      </w:tr>
      <w:tr w:rsidR="008A7B3E" w:rsidRPr="00975B07" w14:paraId="110FE69C" w14:textId="77777777" w:rsidTr="008874CA">
        <w:tc>
          <w:tcPr>
            <w:tcW w:w="2513" w:type="dxa"/>
            <w:tcBorders>
              <w:top w:val="nil"/>
              <w:left w:val="single" w:sz="8" w:space="0" w:color="000000"/>
              <w:bottom w:val="nil"/>
              <w:right w:val="nil"/>
            </w:tcBorders>
            <w:shd w:val="clear" w:color="auto" w:fill="auto"/>
          </w:tcPr>
          <w:p w14:paraId="0EC2773A" w14:textId="77777777" w:rsidR="008A7B3E" w:rsidRDefault="008A7B3E" w:rsidP="008A7B3E">
            <w:r>
              <w:t>Appendix 3</w:t>
            </w:r>
          </w:p>
        </w:tc>
        <w:tc>
          <w:tcPr>
            <w:tcW w:w="6236" w:type="dxa"/>
            <w:tcBorders>
              <w:top w:val="nil"/>
              <w:left w:val="nil"/>
              <w:bottom w:val="nil"/>
              <w:right w:val="single" w:sz="8" w:space="0" w:color="000000"/>
            </w:tcBorders>
          </w:tcPr>
          <w:p w14:paraId="5564A4B7" w14:textId="77777777" w:rsidR="008A7B3E" w:rsidRPr="001356F1" w:rsidRDefault="008A7B3E" w:rsidP="008A7B3E">
            <w:r w:rsidRPr="0016558A">
              <w:t>Detailed General Fund Service Budgets Bids and Savings Proposals 202</w:t>
            </w:r>
            <w:r>
              <w:t>3</w:t>
            </w:r>
            <w:r w:rsidRPr="0016558A">
              <w:t>-2</w:t>
            </w:r>
            <w:r>
              <w:t>4</w:t>
            </w:r>
            <w:r w:rsidRPr="0016558A">
              <w:t xml:space="preserve"> to 202</w:t>
            </w:r>
            <w:r>
              <w:t>6</w:t>
            </w:r>
            <w:r w:rsidRPr="0016558A">
              <w:t>-2</w:t>
            </w:r>
            <w:r>
              <w:t>7</w:t>
            </w:r>
          </w:p>
        </w:tc>
      </w:tr>
      <w:tr w:rsidR="008A7B3E" w:rsidRPr="00975B07" w14:paraId="7485F074" w14:textId="77777777" w:rsidTr="008874CA">
        <w:tc>
          <w:tcPr>
            <w:tcW w:w="2513" w:type="dxa"/>
            <w:tcBorders>
              <w:top w:val="nil"/>
              <w:left w:val="single" w:sz="8" w:space="0" w:color="000000"/>
              <w:bottom w:val="nil"/>
              <w:right w:val="nil"/>
            </w:tcBorders>
            <w:shd w:val="clear" w:color="auto" w:fill="auto"/>
          </w:tcPr>
          <w:p w14:paraId="2A0EB841" w14:textId="77777777" w:rsidR="008A7B3E" w:rsidRDefault="008A7B3E" w:rsidP="008A7B3E">
            <w:r>
              <w:t>Appendix 4</w:t>
            </w:r>
          </w:p>
        </w:tc>
        <w:tc>
          <w:tcPr>
            <w:tcW w:w="6236" w:type="dxa"/>
            <w:tcBorders>
              <w:top w:val="nil"/>
              <w:left w:val="nil"/>
              <w:bottom w:val="nil"/>
              <w:right w:val="single" w:sz="8" w:space="0" w:color="000000"/>
            </w:tcBorders>
          </w:tcPr>
          <w:p w14:paraId="11BF5754" w14:textId="77777777" w:rsidR="008A7B3E" w:rsidRPr="001356F1" w:rsidRDefault="008A7B3E" w:rsidP="008A7B3E">
            <w:r w:rsidRPr="0016558A">
              <w:t>Housing Revenue Account Budget 202</w:t>
            </w:r>
            <w:r>
              <w:t>3</w:t>
            </w:r>
            <w:r w:rsidRPr="0016558A">
              <w:t>-2</w:t>
            </w:r>
            <w:r>
              <w:t>4</w:t>
            </w:r>
            <w:r w:rsidRPr="0016558A">
              <w:t xml:space="preserve"> to 202</w:t>
            </w:r>
            <w:r>
              <w:t>6</w:t>
            </w:r>
            <w:r w:rsidRPr="0016558A">
              <w:t>-2</w:t>
            </w:r>
            <w:r>
              <w:t>7</w:t>
            </w:r>
          </w:p>
        </w:tc>
      </w:tr>
      <w:tr w:rsidR="008A7B3E" w:rsidRPr="00975B07" w14:paraId="55A9F374" w14:textId="77777777" w:rsidTr="008874CA">
        <w:tc>
          <w:tcPr>
            <w:tcW w:w="2513" w:type="dxa"/>
            <w:tcBorders>
              <w:top w:val="nil"/>
              <w:left w:val="single" w:sz="8" w:space="0" w:color="000000"/>
              <w:bottom w:val="nil"/>
              <w:right w:val="nil"/>
            </w:tcBorders>
            <w:shd w:val="clear" w:color="auto" w:fill="auto"/>
          </w:tcPr>
          <w:p w14:paraId="51668228" w14:textId="77777777" w:rsidR="008A7B3E" w:rsidRDefault="008A7B3E" w:rsidP="008A7B3E">
            <w:r>
              <w:t>Appendix 5</w:t>
            </w:r>
          </w:p>
        </w:tc>
        <w:tc>
          <w:tcPr>
            <w:tcW w:w="6236" w:type="dxa"/>
            <w:tcBorders>
              <w:top w:val="nil"/>
              <w:left w:val="nil"/>
              <w:bottom w:val="nil"/>
              <w:right w:val="single" w:sz="8" w:space="0" w:color="000000"/>
            </w:tcBorders>
          </w:tcPr>
          <w:p w14:paraId="649C27A6" w14:textId="77777777" w:rsidR="008A7B3E" w:rsidRPr="001356F1" w:rsidRDefault="008A7B3E" w:rsidP="008A7B3E">
            <w:r w:rsidRPr="0016558A">
              <w:t>Housing Revenue Account Rent by property type</w:t>
            </w:r>
          </w:p>
        </w:tc>
      </w:tr>
      <w:tr w:rsidR="008A7B3E" w:rsidRPr="00975B07" w14:paraId="4CF2740D" w14:textId="77777777" w:rsidTr="008874CA">
        <w:tc>
          <w:tcPr>
            <w:tcW w:w="2513" w:type="dxa"/>
            <w:tcBorders>
              <w:top w:val="nil"/>
              <w:left w:val="single" w:sz="8" w:space="0" w:color="000000"/>
              <w:bottom w:val="nil"/>
              <w:right w:val="nil"/>
            </w:tcBorders>
            <w:shd w:val="clear" w:color="auto" w:fill="auto"/>
          </w:tcPr>
          <w:p w14:paraId="73ED9569" w14:textId="77777777" w:rsidR="008A7B3E" w:rsidRDefault="008A7B3E" w:rsidP="008A7B3E">
            <w:r>
              <w:t>Appendix 6</w:t>
            </w:r>
          </w:p>
        </w:tc>
        <w:tc>
          <w:tcPr>
            <w:tcW w:w="6236" w:type="dxa"/>
            <w:tcBorders>
              <w:top w:val="nil"/>
              <w:left w:val="nil"/>
              <w:bottom w:val="nil"/>
              <w:right w:val="single" w:sz="8" w:space="0" w:color="000000"/>
            </w:tcBorders>
          </w:tcPr>
          <w:p w14:paraId="7C89C90A" w14:textId="77777777" w:rsidR="008A7B3E" w:rsidRPr="001356F1" w:rsidRDefault="008A7B3E" w:rsidP="008A7B3E">
            <w:r w:rsidRPr="0016558A">
              <w:t>General Fund and HRA Capital Programme 202</w:t>
            </w:r>
            <w:r>
              <w:t>3</w:t>
            </w:r>
            <w:r w:rsidRPr="0016558A">
              <w:t>-2</w:t>
            </w:r>
            <w:r>
              <w:t>4</w:t>
            </w:r>
            <w:r w:rsidRPr="0016558A">
              <w:t xml:space="preserve"> to 202</w:t>
            </w:r>
            <w:r>
              <w:t>6</w:t>
            </w:r>
            <w:r w:rsidRPr="0016558A">
              <w:t>-2</w:t>
            </w:r>
            <w:r>
              <w:t>7</w:t>
            </w:r>
          </w:p>
        </w:tc>
      </w:tr>
      <w:tr w:rsidR="008A7B3E" w:rsidRPr="00975B07" w14:paraId="5E934040" w14:textId="77777777" w:rsidTr="008874CA">
        <w:tc>
          <w:tcPr>
            <w:tcW w:w="2513" w:type="dxa"/>
            <w:tcBorders>
              <w:top w:val="nil"/>
              <w:left w:val="single" w:sz="8" w:space="0" w:color="000000"/>
              <w:bottom w:val="nil"/>
              <w:right w:val="nil"/>
            </w:tcBorders>
            <w:shd w:val="clear" w:color="auto" w:fill="auto"/>
          </w:tcPr>
          <w:p w14:paraId="0C5AF476" w14:textId="77777777" w:rsidR="008A7B3E" w:rsidRDefault="008A7B3E" w:rsidP="008A7B3E">
            <w:r>
              <w:t>Appendix 7</w:t>
            </w:r>
          </w:p>
        </w:tc>
        <w:tc>
          <w:tcPr>
            <w:tcW w:w="6236" w:type="dxa"/>
            <w:tcBorders>
              <w:top w:val="nil"/>
              <w:left w:val="nil"/>
              <w:bottom w:val="nil"/>
              <w:right w:val="single" w:sz="8" w:space="0" w:color="000000"/>
            </w:tcBorders>
          </w:tcPr>
          <w:p w14:paraId="18610F43" w14:textId="77777777" w:rsidR="008A7B3E" w:rsidRPr="001356F1" w:rsidRDefault="008A7B3E" w:rsidP="008A7B3E">
            <w:r w:rsidRPr="0016558A">
              <w:t>Fees and Charges</w:t>
            </w:r>
          </w:p>
        </w:tc>
      </w:tr>
      <w:tr w:rsidR="008A7B3E" w:rsidRPr="00975B07" w14:paraId="5CDC0173" w14:textId="77777777" w:rsidTr="008874CA">
        <w:tc>
          <w:tcPr>
            <w:tcW w:w="2513" w:type="dxa"/>
            <w:tcBorders>
              <w:top w:val="nil"/>
              <w:left w:val="single" w:sz="8" w:space="0" w:color="000000"/>
              <w:bottom w:val="nil"/>
              <w:right w:val="nil"/>
            </w:tcBorders>
            <w:shd w:val="clear" w:color="auto" w:fill="auto"/>
          </w:tcPr>
          <w:p w14:paraId="5214B8F5" w14:textId="77777777" w:rsidR="008A7B3E" w:rsidRDefault="008A7B3E" w:rsidP="008A7B3E">
            <w:r>
              <w:lastRenderedPageBreak/>
              <w:t>Appendix 8</w:t>
            </w:r>
          </w:p>
        </w:tc>
        <w:tc>
          <w:tcPr>
            <w:tcW w:w="6236" w:type="dxa"/>
            <w:tcBorders>
              <w:top w:val="nil"/>
              <w:left w:val="nil"/>
              <w:bottom w:val="nil"/>
              <w:right w:val="single" w:sz="8" w:space="0" w:color="000000"/>
            </w:tcBorders>
          </w:tcPr>
          <w:p w14:paraId="00086374" w14:textId="77777777" w:rsidR="008A7B3E" w:rsidRPr="001356F1" w:rsidRDefault="008A7B3E" w:rsidP="008A7B3E">
            <w:r w:rsidRPr="0016558A">
              <w:t>Risk Register</w:t>
            </w:r>
          </w:p>
        </w:tc>
      </w:tr>
      <w:tr w:rsidR="008A7B3E" w:rsidRPr="00975B07" w14:paraId="752F6515" w14:textId="77777777" w:rsidTr="008874CA">
        <w:tc>
          <w:tcPr>
            <w:tcW w:w="2513" w:type="dxa"/>
            <w:tcBorders>
              <w:top w:val="nil"/>
              <w:left w:val="single" w:sz="8" w:space="0" w:color="000000"/>
              <w:bottom w:val="nil"/>
              <w:right w:val="nil"/>
            </w:tcBorders>
            <w:shd w:val="clear" w:color="auto" w:fill="auto"/>
          </w:tcPr>
          <w:p w14:paraId="7F308E56" w14:textId="77777777" w:rsidR="008A7B3E" w:rsidRDefault="008A7B3E" w:rsidP="008A7B3E">
            <w:r>
              <w:t>Appendix 9</w:t>
            </w:r>
          </w:p>
        </w:tc>
        <w:tc>
          <w:tcPr>
            <w:tcW w:w="6236" w:type="dxa"/>
            <w:tcBorders>
              <w:top w:val="nil"/>
              <w:left w:val="nil"/>
              <w:bottom w:val="nil"/>
              <w:right w:val="single" w:sz="8" w:space="0" w:color="000000"/>
            </w:tcBorders>
          </w:tcPr>
          <w:p w14:paraId="04D186DC" w14:textId="77777777" w:rsidR="008A7B3E" w:rsidRPr="001356F1" w:rsidRDefault="008A7B3E" w:rsidP="008A7B3E">
            <w:r w:rsidRPr="0016558A">
              <w:t>Equalities Impact Assessment</w:t>
            </w:r>
          </w:p>
        </w:tc>
      </w:tr>
      <w:tr w:rsidR="008A7B3E" w:rsidRPr="00975B07" w14:paraId="178A49F8" w14:textId="77777777" w:rsidTr="008874CA">
        <w:tc>
          <w:tcPr>
            <w:tcW w:w="2513" w:type="dxa"/>
            <w:tcBorders>
              <w:top w:val="nil"/>
              <w:left w:val="single" w:sz="8" w:space="0" w:color="000000"/>
              <w:bottom w:val="single" w:sz="12" w:space="0" w:color="000000"/>
              <w:right w:val="nil"/>
            </w:tcBorders>
            <w:shd w:val="clear" w:color="auto" w:fill="auto"/>
          </w:tcPr>
          <w:p w14:paraId="3645DB8D" w14:textId="77777777" w:rsidR="008A7B3E" w:rsidRDefault="008A7B3E" w:rsidP="008A7B3E">
            <w:r>
              <w:t>Appendix 10</w:t>
            </w:r>
          </w:p>
        </w:tc>
        <w:tc>
          <w:tcPr>
            <w:tcW w:w="6236" w:type="dxa"/>
            <w:tcBorders>
              <w:top w:val="nil"/>
              <w:left w:val="nil"/>
              <w:bottom w:val="single" w:sz="12" w:space="0" w:color="000000"/>
              <w:right w:val="single" w:sz="8" w:space="0" w:color="000000"/>
            </w:tcBorders>
          </w:tcPr>
          <w:p w14:paraId="3104930E" w14:textId="77777777" w:rsidR="008A7B3E" w:rsidRPr="001356F1" w:rsidRDefault="008A7B3E" w:rsidP="008A7B3E">
            <w:r w:rsidRPr="0016558A">
              <w:rPr>
                <w:rStyle w:val="Firstpagetablebold"/>
                <w:b w:val="0"/>
              </w:rPr>
              <w:t>Budget Consultation</w:t>
            </w:r>
          </w:p>
        </w:tc>
      </w:tr>
    </w:tbl>
    <w:p w14:paraId="4B0FCD43" w14:textId="77777777" w:rsidR="008874CA" w:rsidRDefault="008874CA" w:rsidP="008874CA">
      <w:pPr>
        <w:rPr>
          <w:b/>
          <w:bCs/>
        </w:rPr>
      </w:pPr>
    </w:p>
    <w:p w14:paraId="437E773B" w14:textId="61598473" w:rsidR="001E2F3F" w:rsidRDefault="001E2F3F" w:rsidP="008874CA">
      <w:pPr>
        <w:rPr>
          <w:b/>
          <w:bCs/>
        </w:rPr>
      </w:pPr>
      <w:r>
        <w:rPr>
          <w:b/>
          <w:bCs/>
        </w:rPr>
        <w:t>Introduction by the Portfolio Holder for Finance and Corporate Assets, C</w:t>
      </w:r>
      <w:r w:rsidR="008874CA">
        <w:rPr>
          <w:b/>
          <w:bCs/>
        </w:rPr>
        <w:t>ounci</w:t>
      </w:r>
      <w:r>
        <w:rPr>
          <w:b/>
          <w:bCs/>
        </w:rPr>
        <w:t>ll</w:t>
      </w:r>
      <w:r w:rsidR="008874CA">
        <w:rPr>
          <w:b/>
          <w:bCs/>
        </w:rPr>
        <w:t>o</w:t>
      </w:r>
      <w:r>
        <w:rPr>
          <w:b/>
          <w:bCs/>
        </w:rPr>
        <w:t>r Ed Turner</w:t>
      </w:r>
    </w:p>
    <w:p w14:paraId="65B0D950" w14:textId="77777777" w:rsidR="001E2F3F" w:rsidRDefault="001E2F3F" w:rsidP="008874CA">
      <w:r>
        <w:t>Our Council’s financial position remains extremely challenging – in common with all the local government sector.  We face pressures including:</w:t>
      </w:r>
    </w:p>
    <w:p w14:paraId="4C8DCBD2" w14:textId="77777777" w:rsidR="001E2F3F" w:rsidRDefault="001E2F3F" w:rsidP="008874CA">
      <w:pPr>
        <w:pStyle w:val="ListParagraph"/>
        <w:numPr>
          <w:ilvl w:val="0"/>
          <w:numId w:val="26"/>
        </w:numPr>
        <w:ind w:left="406" w:hanging="378"/>
      </w:pPr>
      <w:r>
        <w:t>High levels of inflation, which are raising energy costs across our organisation and our partnership, as well as in the supplies of goods and services;</w:t>
      </w:r>
    </w:p>
    <w:p w14:paraId="76D1177E" w14:textId="77777777" w:rsidR="001E2F3F" w:rsidRDefault="001E2F3F" w:rsidP="008874CA">
      <w:pPr>
        <w:pStyle w:val="ListParagraph"/>
        <w:numPr>
          <w:ilvl w:val="0"/>
          <w:numId w:val="26"/>
        </w:numPr>
        <w:ind w:left="406" w:hanging="378"/>
      </w:pPr>
      <w:r>
        <w:t>Continued impacts of the Covid-19 pandemic on income levels, including commercial property and car parking;</w:t>
      </w:r>
    </w:p>
    <w:p w14:paraId="4E7F45AB" w14:textId="77777777" w:rsidR="001E2F3F" w:rsidRDefault="001E2F3F" w:rsidP="008874CA">
      <w:pPr>
        <w:pStyle w:val="ListParagraph"/>
        <w:numPr>
          <w:ilvl w:val="0"/>
          <w:numId w:val="26"/>
        </w:numPr>
        <w:ind w:left="406" w:hanging="378"/>
      </w:pPr>
      <w:r>
        <w:t>Raised demand for services, notably by households who are affected by the cost-of-living crisis;</w:t>
      </w:r>
    </w:p>
    <w:p w14:paraId="03A08592" w14:textId="77777777" w:rsidR="001E2F3F" w:rsidRDefault="001E2F3F" w:rsidP="008874CA">
      <w:pPr>
        <w:pStyle w:val="ListParagraph"/>
        <w:numPr>
          <w:ilvl w:val="0"/>
          <w:numId w:val="26"/>
        </w:numPr>
        <w:ind w:left="406" w:hanging="378"/>
      </w:pPr>
      <w:r>
        <w:t>Inadequate government funding, with the withdrawal of direct government grant.</w:t>
      </w:r>
    </w:p>
    <w:p w14:paraId="4030DA5A" w14:textId="77777777" w:rsidR="001E2F3F" w:rsidRDefault="001E2F3F" w:rsidP="008874CA">
      <w:r>
        <w:t>We were at first pleased to note the reintroduction of revenue support grant in the proposed local government finance settlement, although closer analysis suggests this is just the renaming of a payment given to local authorities to administer benefits, and in fact is a precursor to the withdrawal of the funding for this purpose next year.</w:t>
      </w:r>
    </w:p>
    <w:p w14:paraId="2D357DE5" w14:textId="77777777" w:rsidR="001E2F3F" w:rsidRDefault="001E2F3F" w:rsidP="008874CA">
      <w:r>
        <w:t>We are acutely aware of the major financial distress being felt by many local authorities: it was especially noteworthy that both Kent and Hampshire County Councils warned of the threat of bankruptcy.  In this context, we are pleased to propose a balanced four-year Medium Term Financial Strategy, albeit one which contains significant risks.</w:t>
      </w:r>
    </w:p>
    <w:p w14:paraId="782B93CD" w14:textId="77777777" w:rsidR="001E2F3F" w:rsidRDefault="001E2F3F" w:rsidP="008874CA">
      <w:r>
        <w:lastRenderedPageBreak/>
        <w:t>The lynchpin of our strategy remains the “Oxford Model”, by which we attempt to generate income, including from companies that we own, rather than cut services.  Amongst the highlights of this budget are:</w:t>
      </w:r>
    </w:p>
    <w:p w14:paraId="3AD228F7" w14:textId="3E18350F" w:rsidR="001E2F3F" w:rsidRPr="00483BE3" w:rsidRDefault="001E2F3F" w:rsidP="008874CA">
      <w:pPr>
        <w:pStyle w:val="ListParagraph"/>
        <w:numPr>
          <w:ilvl w:val="0"/>
          <w:numId w:val="27"/>
        </w:numPr>
        <w:tabs>
          <w:tab w:val="clear" w:pos="426"/>
          <w:tab w:val="left" w:pos="588"/>
        </w:tabs>
        <w:ind w:left="448" w:hanging="434"/>
      </w:pPr>
      <w:r w:rsidRPr="00483BE3">
        <w:t>Proposals for</w:t>
      </w:r>
      <w:r w:rsidR="003A73BC" w:rsidRPr="00483BE3">
        <w:t xml:space="preserve"> 1303 new council homes over the next ten years, including</w:t>
      </w:r>
      <w:r w:rsidRPr="00483BE3">
        <w:t xml:space="preserve"> 942 over the next </w:t>
      </w:r>
      <w:r w:rsidR="003A73BC" w:rsidRPr="00483BE3">
        <w:t xml:space="preserve">four </w:t>
      </w:r>
      <w:r w:rsidRPr="00483BE3">
        <w:t>years.</w:t>
      </w:r>
    </w:p>
    <w:p w14:paraId="2B7A718F" w14:textId="77777777" w:rsidR="001E2F3F" w:rsidRDefault="001E2F3F" w:rsidP="008874CA">
      <w:pPr>
        <w:pStyle w:val="ListParagraph"/>
        <w:numPr>
          <w:ilvl w:val="0"/>
          <w:numId w:val="27"/>
        </w:numPr>
        <w:tabs>
          <w:tab w:val="clear" w:pos="426"/>
          <w:tab w:val="left" w:pos="588"/>
        </w:tabs>
        <w:ind w:left="448" w:hanging="434"/>
      </w:pPr>
      <w:r w:rsidRPr="00483BE3">
        <w:t>£1.7 million</w:t>
      </w:r>
      <w:r>
        <w:t xml:space="preserve"> for homeless organisations in Oxford.</w:t>
      </w:r>
    </w:p>
    <w:p w14:paraId="13634F06" w14:textId="77777777" w:rsidR="001E2F3F" w:rsidRDefault="001E2F3F" w:rsidP="008874CA">
      <w:pPr>
        <w:pStyle w:val="ListParagraph"/>
        <w:numPr>
          <w:ilvl w:val="0"/>
          <w:numId w:val="27"/>
        </w:numPr>
        <w:tabs>
          <w:tab w:val="clear" w:pos="426"/>
          <w:tab w:val="left" w:pos="588"/>
        </w:tabs>
        <w:ind w:left="448" w:hanging="434"/>
      </w:pPr>
      <w:r>
        <w:t>£6 million to redevelop the East Oxford Community Centre.</w:t>
      </w:r>
    </w:p>
    <w:p w14:paraId="63DB4503" w14:textId="77777777" w:rsidR="001E2F3F" w:rsidRDefault="001E2F3F" w:rsidP="008874CA">
      <w:pPr>
        <w:pStyle w:val="ListParagraph"/>
        <w:numPr>
          <w:ilvl w:val="0"/>
          <w:numId w:val="27"/>
        </w:numPr>
        <w:tabs>
          <w:tab w:val="clear" w:pos="426"/>
          <w:tab w:val="left" w:pos="588"/>
        </w:tabs>
        <w:ind w:left="448" w:hanging="434"/>
      </w:pPr>
      <w:r>
        <w:t>£8.7 million to improve the energy efficiency of council homes.</w:t>
      </w:r>
    </w:p>
    <w:p w14:paraId="6DF367E4" w14:textId="1BAB985A" w:rsidR="001E2F3F" w:rsidRDefault="001E2F3F" w:rsidP="008874CA">
      <w:pPr>
        <w:pStyle w:val="ListParagraph"/>
        <w:numPr>
          <w:ilvl w:val="0"/>
          <w:numId w:val="27"/>
        </w:numPr>
        <w:tabs>
          <w:tab w:val="clear" w:pos="426"/>
          <w:tab w:val="left" w:pos="588"/>
        </w:tabs>
        <w:ind w:left="448" w:hanging="434"/>
      </w:pPr>
      <w:r>
        <w:t>A new council tax support fund, and the retention of full council tax relief for hose on low incomes.</w:t>
      </w:r>
    </w:p>
    <w:p w14:paraId="2DE593EF" w14:textId="77777777" w:rsidR="001E2F3F" w:rsidRDefault="001E2F3F" w:rsidP="008874CA">
      <w:pPr>
        <w:pStyle w:val="ListParagraph"/>
        <w:numPr>
          <w:ilvl w:val="0"/>
          <w:numId w:val="27"/>
        </w:numPr>
        <w:tabs>
          <w:tab w:val="clear" w:pos="426"/>
          <w:tab w:val="left" w:pos="588"/>
        </w:tabs>
        <w:ind w:left="448" w:hanging="434"/>
      </w:pPr>
      <w:r>
        <w:t>Increased investment in youth services.</w:t>
      </w:r>
    </w:p>
    <w:p w14:paraId="5B690646" w14:textId="77777777" w:rsidR="001E2F3F" w:rsidRDefault="001E2F3F" w:rsidP="008874CA">
      <w:pPr>
        <w:pStyle w:val="ListParagraph"/>
        <w:numPr>
          <w:ilvl w:val="0"/>
          <w:numId w:val="27"/>
        </w:numPr>
        <w:tabs>
          <w:tab w:val="clear" w:pos="426"/>
          <w:tab w:val="left" w:pos="588"/>
        </w:tabs>
        <w:ind w:left="448" w:hanging="434"/>
      </w:pPr>
      <w:r>
        <w:t>A new fund to repair pavements.</w:t>
      </w:r>
    </w:p>
    <w:p w14:paraId="67228C16" w14:textId="77777777" w:rsidR="001E2F3F" w:rsidRDefault="001E2F3F" w:rsidP="008874CA">
      <w:pPr>
        <w:pStyle w:val="ListParagraph"/>
        <w:numPr>
          <w:ilvl w:val="0"/>
          <w:numId w:val="27"/>
        </w:numPr>
        <w:tabs>
          <w:tab w:val="clear" w:pos="426"/>
          <w:tab w:val="left" w:pos="588"/>
        </w:tabs>
        <w:ind w:left="448" w:hanging="434"/>
      </w:pPr>
      <w:r>
        <w:t>New funding to support leisure projects in Wood Farm, Barton and Rose Hill.</w:t>
      </w:r>
    </w:p>
    <w:p w14:paraId="33650DF8" w14:textId="77777777" w:rsidR="001E2F3F" w:rsidRDefault="001E2F3F" w:rsidP="008874CA">
      <w:r>
        <w:t xml:space="preserve">We also confirm our intention to implement, as soon as we can (we expect for next financial year) a premium on council tax for second homes in Oxford City, which we believe reflects the ability of second home owners to make a more substantial contribution towards the cost of local services.  </w:t>
      </w:r>
    </w:p>
    <w:p w14:paraId="46D5C51A" w14:textId="77777777" w:rsidR="001E2F3F" w:rsidRDefault="001E2F3F" w:rsidP="008874CA">
      <w:r>
        <w:t>Our ambition remains to make Oxford a fairer, more equal place to live.  We believe the measures in this budget move us closer to that aim.</w:t>
      </w:r>
    </w:p>
    <w:p w14:paraId="11F74067" w14:textId="77777777" w:rsidR="00B3306E" w:rsidRDefault="00876426" w:rsidP="008874CA">
      <w:pPr>
        <w:pStyle w:val="Heading1"/>
      </w:pPr>
      <w:r w:rsidRPr="0016558A">
        <w:t>Introduction</w:t>
      </w:r>
    </w:p>
    <w:p w14:paraId="556E6D9C" w14:textId="77777777" w:rsidR="00DF1848" w:rsidRDefault="00DF1848" w:rsidP="008874CA">
      <w:pPr>
        <w:spacing w:after="0"/>
        <w:rPr>
          <w:color w:val="auto"/>
          <w:lang w:eastAsia="en-US"/>
        </w:rPr>
      </w:pPr>
    </w:p>
    <w:p w14:paraId="086FCA60" w14:textId="77777777" w:rsidR="003A2277" w:rsidRPr="004D6559" w:rsidRDefault="00D760C5" w:rsidP="008874CA">
      <w:pPr>
        <w:numPr>
          <w:ilvl w:val="0"/>
          <w:numId w:val="12"/>
        </w:numPr>
        <w:spacing w:after="0"/>
        <w:ind w:left="476" w:hanging="476"/>
      </w:pPr>
      <w:r w:rsidRPr="004D6559">
        <w:t>T</w:t>
      </w:r>
      <w:r w:rsidR="00CC1EE8" w:rsidRPr="004D6559">
        <w:t xml:space="preserve">his report </w:t>
      </w:r>
      <w:r w:rsidR="007774A8" w:rsidRPr="004D6559">
        <w:t xml:space="preserve">reflects the outcome of the consultation on the draft budget agreed by </w:t>
      </w:r>
      <w:r w:rsidR="004170DA" w:rsidRPr="004D6559">
        <w:t xml:space="preserve">the </w:t>
      </w:r>
      <w:r w:rsidR="007774A8" w:rsidRPr="004D6559">
        <w:t>C</w:t>
      </w:r>
      <w:r w:rsidR="00BA64B9" w:rsidRPr="004D6559">
        <w:t>abinet</w:t>
      </w:r>
      <w:r w:rsidR="00C965E4" w:rsidRPr="004D6559">
        <w:t xml:space="preserve"> </w:t>
      </w:r>
      <w:r w:rsidR="00C61FFA" w:rsidRPr="004D6559">
        <w:t>on 1</w:t>
      </w:r>
      <w:r w:rsidR="004D6559" w:rsidRPr="004D6559">
        <w:t>4</w:t>
      </w:r>
      <w:r w:rsidR="00C61FFA" w:rsidRPr="004D6559">
        <w:rPr>
          <w:vertAlign w:val="superscript"/>
        </w:rPr>
        <w:t>th</w:t>
      </w:r>
      <w:r w:rsidR="00C61FFA" w:rsidRPr="004D6559">
        <w:t xml:space="preserve"> </w:t>
      </w:r>
      <w:r w:rsidR="00437870" w:rsidRPr="004D6559">
        <w:t>December 20</w:t>
      </w:r>
      <w:r w:rsidR="00C61FFA" w:rsidRPr="004D6559">
        <w:t>2</w:t>
      </w:r>
      <w:r w:rsidR="004D6559" w:rsidRPr="004D6559">
        <w:t>2</w:t>
      </w:r>
      <w:r w:rsidR="00C61FFA" w:rsidRPr="004D6559">
        <w:t xml:space="preserve"> </w:t>
      </w:r>
      <w:r w:rsidR="000E194D" w:rsidRPr="004D6559">
        <w:t xml:space="preserve">as well as </w:t>
      </w:r>
      <w:r w:rsidR="00DF1848" w:rsidRPr="004D6559">
        <w:t>incorporating changes w</w:t>
      </w:r>
      <w:r w:rsidR="004E775D" w:rsidRPr="004D6559">
        <w:t xml:space="preserve">hich have </w:t>
      </w:r>
      <w:r w:rsidR="000E194D" w:rsidRPr="004D6559">
        <w:t>aris</w:t>
      </w:r>
      <w:r w:rsidR="004E775D" w:rsidRPr="004D6559">
        <w:t>en</w:t>
      </w:r>
      <w:r w:rsidR="000E194D" w:rsidRPr="004D6559">
        <w:t xml:space="preserve"> since the consultation budget was published</w:t>
      </w:r>
      <w:r w:rsidR="006174CA" w:rsidRPr="004D6559">
        <w:t>.</w:t>
      </w:r>
    </w:p>
    <w:p w14:paraId="43B36A0A" w14:textId="77777777" w:rsidR="00C61FFA" w:rsidRPr="004D6559" w:rsidRDefault="00C61FFA" w:rsidP="008874CA">
      <w:pPr>
        <w:spacing w:after="0"/>
        <w:ind w:left="476" w:hanging="476"/>
      </w:pPr>
    </w:p>
    <w:p w14:paraId="54F7DF11" w14:textId="77777777" w:rsidR="004D23EA" w:rsidRPr="004D6559" w:rsidRDefault="008D0541" w:rsidP="008874CA">
      <w:pPr>
        <w:pStyle w:val="bParagraphtext"/>
        <w:numPr>
          <w:ilvl w:val="0"/>
          <w:numId w:val="12"/>
        </w:numPr>
        <w:ind w:left="476" w:hanging="476"/>
        <w:rPr>
          <w:rFonts w:eastAsia="Calibri"/>
        </w:rPr>
      </w:pPr>
      <w:r w:rsidRPr="004D6559">
        <w:rPr>
          <w:rFonts w:eastAsia="Calibri"/>
        </w:rPr>
        <w:lastRenderedPageBreak/>
        <w:t xml:space="preserve">The </w:t>
      </w:r>
      <w:r w:rsidR="003511A5" w:rsidRPr="004D6559">
        <w:rPr>
          <w:rFonts w:eastAsia="Calibri"/>
        </w:rPr>
        <w:t>c</w:t>
      </w:r>
      <w:r w:rsidRPr="004D6559">
        <w:rPr>
          <w:rFonts w:eastAsia="Calibri"/>
        </w:rPr>
        <w:t xml:space="preserve">onsultation </w:t>
      </w:r>
      <w:r w:rsidR="00C965E4" w:rsidRPr="004D6559">
        <w:rPr>
          <w:rFonts w:eastAsia="Calibri"/>
        </w:rPr>
        <w:t>on the draft budget</w:t>
      </w:r>
      <w:r w:rsidRPr="004D6559">
        <w:rPr>
          <w:rFonts w:eastAsia="Calibri"/>
        </w:rPr>
        <w:t xml:space="preserve"> began on </w:t>
      </w:r>
      <w:r w:rsidR="00AB1DB2" w:rsidRPr="004D6559">
        <w:rPr>
          <w:rFonts w:eastAsia="Calibri"/>
        </w:rPr>
        <w:t>1</w:t>
      </w:r>
      <w:r w:rsidR="004D6559" w:rsidRPr="004D6559">
        <w:rPr>
          <w:rFonts w:eastAsia="Calibri"/>
        </w:rPr>
        <w:t>5</w:t>
      </w:r>
      <w:r w:rsidR="006117EF" w:rsidRPr="004D6559">
        <w:rPr>
          <w:rFonts w:eastAsia="Calibri"/>
        </w:rPr>
        <w:t>th</w:t>
      </w:r>
      <w:r w:rsidR="00E95BB3" w:rsidRPr="004D6559">
        <w:rPr>
          <w:rFonts w:eastAsia="Calibri"/>
        </w:rPr>
        <w:t xml:space="preserve"> </w:t>
      </w:r>
      <w:r w:rsidRPr="004D6559">
        <w:rPr>
          <w:rFonts w:eastAsia="Calibri"/>
        </w:rPr>
        <w:t>December 20</w:t>
      </w:r>
      <w:r w:rsidR="00AB1DB2" w:rsidRPr="004D6559">
        <w:rPr>
          <w:rFonts w:eastAsia="Calibri"/>
        </w:rPr>
        <w:t>2</w:t>
      </w:r>
      <w:r w:rsidR="004D6559" w:rsidRPr="004D6559">
        <w:rPr>
          <w:rFonts w:eastAsia="Calibri"/>
        </w:rPr>
        <w:t>2</w:t>
      </w:r>
      <w:r w:rsidRPr="004D6559">
        <w:rPr>
          <w:rFonts w:eastAsia="Calibri"/>
        </w:rPr>
        <w:t xml:space="preserve"> and ended on 31 January 20</w:t>
      </w:r>
      <w:r w:rsidR="00BA64B9" w:rsidRPr="004D6559">
        <w:rPr>
          <w:rFonts w:eastAsia="Calibri"/>
        </w:rPr>
        <w:t>2</w:t>
      </w:r>
      <w:r w:rsidR="004D6559" w:rsidRPr="004D6559">
        <w:rPr>
          <w:rFonts w:eastAsia="Calibri"/>
        </w:rPr>
        <w:t>3</w:t>
      </w:r>
      <w:r w:rsidRPr="004D6559">
        <w:rPr>
          <w:rFonts w:eastAsia="Calibri"/>
        </w:rPr>
        <w:t>.</w:t>
      </w:r>
      <w:r w:rsidR="003511A5" w:rsidRPr="004D6559">
        <w:rPr>
          <w:rFonts w:eastAsia="Calibri"/>
        </w:rPr>
        <w:t xml:space="preserve"> </w:t>
      </w:r>
      <w:r w:rsidRPr="004D6559">
        <w:rPr>
          <w:rFonts w:eastAsia="Calibri"/>
        </w:rPr>
        <w:t>The consultation document was available on the Council’s website</w:t>
      </w:r>
      <w:r w:rsidR="00A63DFF" w:rsidRPr="004D6559">
        <w:rPr>
          <w:rFonts w:eastAsia="Calibri"/>
        </w:rPr>
        <w:t xml:space="preserve"> and also use was made of the Citizens</w:t>
      </w:r>
      <w:r w:rsidR="00C05AA0" w:rsidRPr="004D6559">
        <w:rPr>
          <w:rFonts w:eastAsia="Calibri"/>
        </w:rPr>
        <w:t>’</w:t>
      </w:r>
      <w:r w:rsidR="00A63DFF" w:rsidRPr="004D6559">
        <w:rPr>
          <w:rFonts w:eastAsia="Calibri"/>
        </w:rPr>
        <w:t xml:space="preserve"> Panel</w:t>
      </w:r>
      <w:r w:rsidRPr="004D6559">
        <w:rPr>
          <w:rFonts w:eastAsia="Calibri"/>
        </w:rPr>
        <w:t>.</w:t>
      </w:r>
    </w:p>
    <w:p w14:paraId="44357C6C" w14:textId="77777777" w:rsidR="00E4431E" w:rsidRPr="004D6559" w:rsidRDefault="00E4431E" w:rsidP="008874CA">
      <w:pPr>
        <w:pStyle w:val="bParagraphtext"/>
        <w:numPr>
          <w:ilvl w:val="0"/>
          <w:numId w:val="12"/>
        </w:numPr>
        <w:ind w:left="476" w:hanging="476"/>
      </w:pPr>
      <w:r w:rsidRPr="004D6559">
        <w:t xml:space="preserve">For ease of reading; the report is split into </w:t>
      </w:r>
      <w:r w:rsidR="00D06CE8" w:rsidRPr="004D6559">
        <w:t>three</w:t>
      </w:r>
      <w:r w:rsidRPr="004D6559">
        <w:t xml:space="preserve"> sections:</w:t>
      </w:r>
    </w:p>
    <w:p w14:paraId="52F30EA1" w14:textId="4C166C07" w:rsidR="00E4431E" w:rsidRPr="004D6559" w:rsidRDefault="00E4431E" w:rsidP="008874CA">
      <w:pPr>
        <w:pStyle w:val="Bulletpoints"/>
        <w:tabs>
          <w:tab w:val="clear" w:pos="1134"/>
          <w:tab w:val="left" w:pos="826"/>
        </w:tabs>
        <w:ind w:left="476" w:hanging="56"/>
      </w:pPr>
      <w:r w:rsidRPr="004D6559">
        <w:t>Section A</w:t>
      </w:r>
      <w:r w:rsidR="008874CA">
        <w:t xml:space="preserve"> -</w:t>
      </w:r>
      <w:r w:rsidRPr="004D6559">
        <w:t xml:space="preserve"> General Fund Revenue Budget</w:t>
      </w:r>
    </w:p>
    <w:p w14:paraId="518516B2" w14:textId="133B2263" w:rsidR="00E4431E" w:rsidRPr="004D6559" w:rsidRDefault="00E4431E" w:rsidP="008874CA">
      <w:pPr>
        <w:pStyle w:val="Bulletpoints"/>
        <w:tabs>
          <w:tab w:val="clear" w:pos="1134"/>
          <w:tab w:val="left" w:pos="826"/>
        </w:tabs>
        <w:ind w:left="476" w:hanging="56"/>
      </w:pPr>
      <w:r w:rsidRPr="004D6559">
        <w:t xml:space="preserve">Section B </w:t>
      </w:r>
      <w:r w:rsidR="008874CA">
        <w:t xml:space="preserve">- </w:t>
      </w:r>
      <w:r w:rsidRPr="004D6559">
        <w:t>Housing Revenue Account (HRA) Budget</w:t>
      </w:r>
    </w:p>
    <w:p w14:paraId="79C48D31" w14:textId="3742929D" w:rsidR="004605C4" w:rsidRPr="004D6559" w:rsidRDefault="00E4431E" w:rsidP="008874CA">
      <w:pPr>
        <w:pStyle w:val="Bulletpoints"/>
        <w:tabs>
          <w:tab w:val="clear" w:pos="1134"/>
          <w:tab w:val="left" w:pos="826"/>
        </w:tabs>
        <w:ind w:left="476" w:hanging="56"/>
      </w:pPr>
      <w:r w:rsidRPr="004D6559">
        <w:t xml:space="preserve">Section C </w:t>
      </w:r>
      <w:r w:rsidR="008874CA">
        <w:t xml:space="preserve">- </w:t>
      </w:r>
      <w:r w:rsidRPr="004D6559">
        <w:t>Capital Programme</w:t>
      </w:r>
      <w:r w:rsidR="008874CA">
        <w:t>.</w:t>
      </w:r>
    </w:p>
    <w:p w14:paraId="04698B8A" w14:textId="77777777" w:rsidR="00AA05F7" w:rsidRPr="00B54839" w:rsidRDefault="00AA05F7" w:rsidP="008874CA">
      <w:pPr>
        <w:pStyle w:val="Bulletpoints"/>
        <w:numPr>
          <w:ilvl w:val="0"/>
          <w:numId w:val="0"/>
        </w:numPr>
        <w:rPr>
          <w:highlight w:val="yellow"/>
        </w:rPr>
      </w:pPr>
    </w:p>
    <w:p w14:paraId="601ACEA0" w14:textId="77777777" w:rsidR="00E4431E" w:rsidRPr="004D6559" w:rsidRDefault="00E4431E" w:rsidP="008874CA">
      <w:pPr>
        <w:pStyle w:val="Heading1"/>
      </w:pPr>
      <w:r w:rsidRPr="004D6559">
        <w:t xml:space="preserve">Section </w:t>
      </w:r>
      <w:proofErr w:type="gramStart"/>
      <w:r w:rsidRPr="004D6559">
        <w:t>A</w:t>
      </w:r>
      <w:proofErr w:type="gramEnd"/>
      <w:r w:rsidRPr="004D6559">
        <w:t xml:space="preserve"> – General Fund Revenue Budget</w:t>
      </w:r>
    </w:p>
    <w:p w14:paraId="7F75B161" w14:textId="326F327A" w:rsidR="004E7A86" w:rsidRPr="002060B8" w:rsidRDefault="00E4431E" w:rsidP="00A43EBB">
      <w:pPr>
        <w:pStyle w:val="bParagraphtext"/>
        <w:numPr>
          <w:ilvl w:val="0"/>
          <w:numId w:val="12"/>
        </w:numPr>
        <w:ind w:left="406" w:hanging="406"/>
      </w:pPr>
      <w:r w:rsidRPr="004D6559">
        <w:t xml:space="preserve">Since the publication of the Consultation Budget a number of key issues have </w:t>
      </w:r>
      <w:r w:rsidRPr="002060B8">
        <w:t xml:space="preserve">arisen which </w:t>
      </w:r>
      <w:r w:rsidR="00B37CC8" w:rsidRPr="002060B8">
        <w:t>a</w:t>
      </w:r>
      <w:r w:rsidRPr="002060B8">
        <w:t>ffect the budget</w:t>
      </w:r>
      <w:r w:rsidR="00633BDC" w:rsidRPr="002060B8">
        <w:t>,</w:t>
      </w:r>
      <w:r w:rsidRPr="002060B8">
        <w:t xml:space="preserve"> these are summar</w:t>
      </w:r>
      <w:r w:rsidR="00A43EBB">
        <w:t>ised below.</w:t>
      </w:r>
    </w:p>
    <w:p w14:paraId="6122CD99" w14:textId="77777777" w:rsidR="00DE2F6C" w:rsidRPr="007C4A5F" w:rsidRDefault="00901E97" w:rsidP="008874CA">
      <w:pPr>
        <w:pStyle w:val="Heading1"/>
      </w:pPr>
      <w:r w:rsidRPr="007C4A5F">
        <w:t>Local Government Finance Settle</w:t>
      </w:r>
      <w:r w:rsidR="00DE2F6C" w:rsidRPr="007C4A5F">
        <w:t>ment 20</w:t>
      </w:r>
      <w:r w:rsidR="00A63DFF" w:rsidRPr="007C4A5F">
        <w:t>2</w:t>
      </w:r>
      <w:r w:rsidR="004D6559" w:rsidRPr="007C4A5F">
        <w:t>3</w:t>
      </w:r>
      <w:r w:rsidR="00DE2F6C" w:rsidRPr="007C4A5F">
        <w:t>-</w:t>
      </w:r>
      <w:r w:rsidR="006117EF" w:rsidRPr="007C4A5F">
        <w:t>2</w:t>
      </w:r>
      <w:r w:rsidR="004D6559" w:rsidRPr="007C4A5F">
        <w:t>4</w:t>
      </w:r>
      <w:r w:rsidR="00DE2F6C" w:rsidRPr="007C4A5F">
        <w:t xml:space="preserve"> </w:t>
      </w:r>
    </w:p>
    <w:p w14:paraId="0F364E10" w14:textId="38DB045C" w:rsidR="00DE2F6C" w:rsidRPr="00A43EBB" w:rsidRDefault="00DE2F6C" w:rsidP="00A43EBB">
      <w:pPr>
        <w:pStyle w:val="bParagraphtext"/>
        <w:numPr>
          <w:ilvl w:val="0"/>
          <w:numId w:val="28"/>
        </w:numPr>
        <w:ind w:left="434" w:hanging="420"/>
      </w:pPr>
      <w:r w:rsidRPr="007C4A5F">
        <w:t xml:space="preserve">The Government published </w:t>
      </w:r>
      <w:r w:rsidR="00AF77B0" w:rsidRPr="007C4A5F">
        <w:t xml:space="preserve">its </w:t>
      </w:r>
      <w:r w:rsidR="00633BDC" w:rsidRPr="007C4A5F">
        <w:t>P</w:t>
      </w:r>
      <w:r w:rsidR="00AF77B0" w:rsidRPr="007C4A5F">
        <w:t>rovisional Finance Settlement for 20</w:t>
      </w:r>
      <w:r w:rsidR="005D4842" w:rsidRPr="007C4A5F">
        <w:t>2</w:t>
      </w:r>
      <w:r w:rsidR="004D6559" w:rsidRPr="007C4A5F">
        <w:t>3</w:t>
      </w:r>
      <w:r w:rsidR="001F796B" w:rsidRPr="007C4A5F">
        <w:t>/</w:t>
      </w:r>
      <w:r w:rsidR="009C1A0D" w:rsidRPr="007C4A5F">
        <w:t>2</w:t>
      </w:r>
      <w:r w:rsidR="004D6559" w:rsidRPr="007C4A5F">
        <w:t>4</w:t>
      </w:r>
      <w:r w:rsidR="001F796B" w:rsidRPr="007C4A5F">
        <w:t xml:space="preserve"> </w:t>
      </w:r>
      <w:r w:rsidR="00D760C5" w:rsidRPr="007C4A5F">
        <w:t xml:space="preserve">on </w:t>
      </w:r>
      <w:r w:rsidR="00314A42" w:rsidRPr="007C4A5F">
        <w:t>1</w:t>
      </w:r>
      <w:r w:rsidR="002060B8" w:rsidRPr="007C4A5F">
        <w:t>9</w:t>
      </w:r>
      <w:r w:rsidR="00AF77B0" w:rsidRPr="007C4A5F">
        <w:t xml:space="preserve"> </w:t>
      </w:r>
      <w:r w:rsidR="00314A42" w:rsidRPr="007C4A5F">
        <w:t>December</w:t>
      </w:r>
      <w:r w:rsidR="00F34D9A" w:rsidRPr="007C4A5F">
        <w:t xml:space="preserve"> 20</w:t>
      </w:r>
      <w:r w:rsidR="00314A42" w:rsidRPr="007C4A5F">
        <w:t>2</w:t>
      </w:r>
      <w:r w:rsidR="002060B8" w:rsidRPr="007C4A5F">
        <w:t>2</w:t>
      </w:r>
      <w:r w:rsidR="00540431" w:rsidRPr="007C4A5F">
        <w:t xml:space="preserve">. </w:t>
      </w:r>
      <w:r w:rsidR="002060B8" w:rsidRPr="007C4A5F">
        <w:t>This announcement followed a policy statement published on</w:t>
      </w:r>
      <w:r w:rsidR="002060B8" w:rsidRPr="00493890">
        <w:t xml:space="preserve"> 12</w:t>
      </w:r>
      <w:r w:rsidR="002060B8" w:rsidRPr="00493890">
        <w:rPr>
          <w:vertAlign w:val="superscript"/>
        </w:rPr>
        <w:t>th</w:t>
      </w:r>
      <w:r w:rsidR="002060B8" w:rsidRPr="00493890">
        <w:t xml:space="preserve"> December covering 2023-24 and 2024-25, the remaining years of the Spending</w:t>
      </w:r>
      <w:r w:rsidR="002060B8" w:rsidRPr="002060B8">
        <w:t xml:space="preserve"> Review 2021 period, which in turn followed the Autumn Statement published on the 17</w:t>
      </w:r>
      <w:r w:rsidR="002060B8" w:rsidRPr="002060B8">
        <w:rPr>
          <w:vertAlign w:val="superscript"/>
        </w:rPr>
        <w:t>th</w:t>
      </w:r>
      <w:r w:rsidR="002060B8" w:rsidRPr="002060B8">
        <w:t xml:space="preserve"> November which set the </w:t>
      </w:r>
      <w:r w:rsidR="002060B8" w:rsidRPr="002060B8">
        <w:rPr>
          <w:color w:val="auto"/>
        </w:rPr>
        <w:t xml:space="preserve">overall level of resources. </w:t>
      </w:r>
      <w:r w:rsidR="00540431" w:rsidRPr="002060B8">
        <w:rPr>
          <w:color w:val="auto"/>
        </w:rPr>
        <w:t xml:space="preserve"> </w:t>
      </w:r>
      <w:r w:rsidR="002060B8" w:rsidRPr="002060B8">
        <w:rPr>
          <w:color w:val="auto"/>
        </w:rPr>
        <w:t>C</w:t>
      </w:r>
      <w:r w:rsidR="00937C83" w:rsidRPr="002060B8">
        <w:rPr>
          <w:color w:val="auto"/>
        </w:rPr>
        <w:t xml:space="preserve">onsultation </w:t>
      </w:r>
      <w:r w:rsidR="002060B8" w:rsidRPr="002060B8">
        <w:rPr>
          <w:color w:val="auto"/>
        </w:rPr>
        <w:t xml:space="preserve">on the provisional settlement </w:t>
      </w:r>
      <w:r w:rsidR="00937C83" w:rsidRPr="002060B8">
        <w:rPr>
          <w:color w:val="auto"/>
        </w:rPr>
        <w:t>close</w:t>
      </w:r>
      <w:r w:rsidR="00F50E98">
        <w:rPr>
          <w:color w:val="auto"/>
        </w:rPr>
        <w:t>d</w:t>
      </w:r>
      <w:r w:rsidR="00937C83" w:rsidRPr="002060B8">
        <w:rPr>
          <w:color w:val="auto"/>
        </w:rPr>
        <w:t xml:space="preserve"> on </w:t>
      </w:r>
      <w:r w:rsidR="00AA05F7" w:rsidRPr="002060B8">
        <w:rPr>
          <w:color w:val="auto"/>
        </w:rPr>
        <w:t>1</w:t>
      </w:r>
      <w:r w:rsidR="002060B8" w:rsidRPr="002060B8">
        <w:rPr>
          <w:color w:val="auto"/>
        </w:rPr>
        <w:t>6th</w:t>
      </w:r>
      <w:r w:rsidR="00937C83" w:rsidRPr="002060B8">
        <w:rPr>
          <w:color w:val="auto"/>
        </w:rPr>
        <w:t xml:space="preserve"> January</w:t>
      </w:r>
      <w:r w:rsidR="00AC0EEF" w:rsidRPr="002060B8">
        <w:rPr>
          <w:color w:val="auto"/>
        </w:rPr>
        <w:t xml:space="preserve"> 20</w:t>
      </w:r>
      <w:r w:rsidR="005D4842" w:rsidRPr="002060B8">
        <w:rPr>
          <w:color w:val="auto"/>
        </w:rPr>
        <w:t>2</w:t>
      </w:r>
      <w:r w:rsidR="002060B8" w:rsidRPr="002060B8">
        <w:rPr>
          <w:color w:val="auto"/>
        </w:rPr>
        <w:t>3</w:t>
      </w:r>
      <w:r w:rsidR="00540431" w:rsidRPr="002060B8">
        <w:rPr>
          <w:color w:val="auto"/>
        </w:rPr>
        <w:t xml:space="preserve"> </w:t>
      </w:r>
      <w:r w:rsidR="002060B8" w:rsidRPr="002060B8">
        <w:rPr>
          <w:color w:val="auto"/>
        </w:rPr>
        <w:t xml:space="preserve">after which </w:t>
      </w:r>
      <w:r w:rsidR="00540431" w:rsidRPr="002060B8">
        <w:rPr>
          <w:color w:val="auto"/>
        </w:rPr>
        <w:t xml:space="preserve">the Government </w:t>
      </w:r>
      <w:r w:rsidR="002060B8" w:rsidRPr="002060B8">
        <w:rPr>
          <w:color w:val="auto"/>
        </w:rPr>
        <w:t xml:space="preserve">will </w:t>
      </w:r>
      <w:r w:rsidR="00540431" w:rsidRPr="002060B8">
        <w:rPr>
          <w:color w:val="auto"/>
        </w:rPr>
        <w:t>publish the Final Settlement</w:t>
      </w:r>
      <w:r w:rsidR="00937C83" w:rsidRPr="002060B8">
        <w:rPr>
          <w:color w:val="auto"/>
        </w:rPr>
        <w:t>.</w:t>
      </w:r>
    </w:p>
    <w:p w14:paraId="315D695F" w14:textId="77777777" w:rsidR="002060B8" w:rsidRPr="00C6335B" w:rsidRDefault="002060B8" w:rsidP="00A43EBB">
      <w:pPr>
        <w:pStyle w:val="bParagraphtext"/>
        <w:numPr>
          <w:ilvl w:val="0"/>
          <w:numId w:val="28"/>
        </w:numPr>
        <w:ind w:left="448" w:hanging="462"/>
      </w:pPr>
      <w:r>
        <w:rPr>
          <w:color w:val="auto"/>
        </w:rPr>
        <w:t xml:space="preserve">There remain significant uncertainties for 2024-25 </w:t>
      </w:r>
      <w:r w:rsidR="00BB23AD">
        <w:rPr>
          <w:color w:val="auto"/>
        </w:rPr>
        <w:t xml:space="preserve">especially for district councils, these include New Homes Bonus, uncertainty over the distribution of </w:t>
      </w:r>
      <w:r w:rsidR="00BB23AD" w:rsidRPr="00C6335B">
        <w:rPr>
          <w:color w:val="auto"/>
        </w:rPr>
        <w:t>resources from Extended Producer Responsibility for packaging and also the future position of areas with 100% business rates retention.</w:t>
      </w:r>
    </w:p>
    <w:p w14:paraId="67A025C5" w14:textId="77777777" w:rsidR="00AF77B0" w:rsidRPr="00C6335B" w:rsidRDefault="00AF77B0" w:rsidP="00A43EBB">
      <w:pPr>
        <w:pStyle w:val="bParagraphtext"/>
        <w:numPr>
          <w:ilvl w:val="0"/>
          <w:numId w:val="28"/>
        </w:numPr>
        <w:ind w:left="448" w:hanging="462"/>
      </w:pPr>
      <w:r w:rsidRPr="00C6335B">
        <w:t xml:space="preserve">The key </w:t>
      </w:r>
      <w:r w:rsidR="006A3A7B" w:rsidRPr="00C6335B">
        <w:t>points</w:t>
      </w:r>
      <w:r w:rsidRPr="00C6335B">
        <w:t xml:space="preserve"> </w:t>
      </w:r>
      <w:r w:rsidR="00674634" w:rsidRPr="00C6335B">
        <w:t>include</w:t>
      </w:r>
      <w:r w:rsidR="00AC0EEF" w:rsidRPr="00C6335B">
        <w:t>d</w:t>
      </w:r>
      <w:r w:rsidR="00674634" w:rsidRPr="00C6335B">
        <w:t>:</w:t>
      </w:r>
    </w:p>
    <w:p w14:paraId="05D5E29E" w14:textId="66D2238A" w:rsidR="007F3D3C" w:rsidRPr="00C6335B" w:rsidRDefault="007F3D3C" w:rsidP="00A43EBB">
      <w:pPr>
        <w:pStyle w:val="Bulletpoints"/>
        <w:numPr>
          <w:ilvl w:val="1"/>
          <w:numId w:val="1"/>
        </w:numPr>
        <w:tabs>
          <w:tab w:val="clear" w:pos="1134"/>
          <w:tab w:val="left" w:pos="851"/>
        </w:tabs>
        <w:ind w:left="854" w:hanging="434"/>
      </w:pPr>
      <w:r w:rsidRPr="00C6335B">
        <w:rPr>
          <w:b/>
          <w:color w:val="auto"/>
        </w:rPr>
        <w:lastRenderedPageBreak/>
        <w:t>Council Tax</w:t>
      </w:r>
      <w:r w:rsidR="00314A42" w:rsidRPr="00C6335B">
        <w:rPr>
          <w:b/>
          <w:color w:val="auto"/>
        </w:rPr>
        <w:t xml:space="preserve"> </w:t>
      </w:r>
      <w:r w:rsidR="00A43EBB">
        <w:rPr>
          <w:color w:val="auto"/>
        </w:rPr>
        <w:t>-</w:t>
      </w:r>
      <w:r w:rsidR="00314A42" w:rsidRPr="00C6335B">
        <w:rPr>
          <w:color w:val="auto"/>
        </w:rPr>
        <w:t>T</w:t>
      </w:r>
      <w:r w:rsidRPr="00C6335B">
        <w:rPr>
          <w:color w:val="auto"/>
        </w:rPr>
        <w:t>h</w:t>
      </w:r>
      <w:r w:rsidRPr="00C6335B">
        <w:t>e council tax referendum limit will</w:t>
      </w:r>
      <w:r w:rsidR="004D7EFC" w:rsidRPr="00C6335B">
        <w:t xml:space="preserve"> as expected</w:t>
      </w:r>
      <w:r w:rsidRPr="00C6335B">
        <w:t xml:space="preserve"> be 2</w:t>
      </w:r>
      <w:r w:rsidR="00D92E4A" w:rsidRPr="00C6335B">
        <w:t>.99</w:t>
      </w:r>
      <w:r w:rsidRPr="00C6335B">
        <w:t>% for local authorities</w:t>
      </w:r>
      <w:r w:rsidR="00D92E4A" w:rsidRPr="00C6335B">
        <w:t>,</w:t>
      </w:r>
      <w:r w:rsidRPr="00C6335B">
        <w:t xml:space="preserve"> with social care authorities allowed </w:t>
      </w:r>
      <w:r w:rsidR="00D92E4A" w:rsidRPr="00C6335B">
        <w:t>an additional 2</w:t>
      </w:r>
      <w:r w:rsidRPr="00C6335B">
        <w:t>% social care precept.</w:t>
      </w:r>
      <w:r w:rsidR="003A69C5" w:rsidRPr="00C6335B">
        <w:t xml:space="preserve"> </w:t>
      </w:r>
      <w:r w:rsidRPr="00C6335B">
        <w:t xml:space="preserve">The </w:t>
      </w:r>
      <w:r w:rsidR="00D92E4A" w:rsidRPr="00C6335B">
        <w:t>provisional</w:t>
      </w:r>
      <w:r w:rsidRPr="00C6335B">
        <w:t xml:space="preserve"> settlement confirmed districts will be allowed to apply the higher of the referendum limit or £5.</w:t>
      </w:r>
    </w:p>
    <w:p w14:paraId="79637806" w14:textId="26AA4F03" w:rsidR="00C25218" w:rsidRPr="00D92E4A" w:rsidRDefault="007F3D3C" w:rsidP="00A43EBB">
      <w:pPr>
        <w:pStyle w:val="Bulletpoints"/>
        <w:numPr>
          <w:ilvl w:val="1"/>
          <w:numId w:val="1"/>
        </w:numPr>
        <w:tabs>
          <w:tab w:val="clear" w:pos="1134"/>
          <w:tab w:val="left" w:pos="851"/>
        </w:tabs>
        <w:ind w:left="854" w:hanging="434"/>
      </w:pPr>
      <w:r w:rsidRPr="00C6335B">
        <w:rPr>
          <w:b/>
          <w:color w:val="auto"/>
        </w:rPr>
        <w:t>Business Rates Retention</w:t>
      </w:r>
      <w:r w:rsidRPr="00D92E4A">
        <w:rPr>
          <w:b/>
          <w:color w:val="auto"/>
        </w:rPr>
        <w:t xml:space="preserve"> </w:t>
      </w:r>
      <w:r w:rsidRPr="00D92E4A">
        <w:t xml:space="preserve">– </w:t>
      </w:r>
    </w:p>
    <w:p w14:paraId="780079F5" w14:textId="77777777" w:rsidR="00C25218" w:rsidRPr="00D92E4A" w:rsidRDefault="00314A42" w:rsidP="00A43EBB">
      <w:pPr>
        <w:pStyle w:val="Bulletpoints"/>
        <w:numPr>
          <w:ilvl w:val="2"/>
          <w:numId w:val="1"/>
        </w:numPr>
        <w:tabs>
          <w:tab w:val="clear" w:pos="1134"/>
          <w:tab w:val="left" w:pos="1344"/>
        </w:tabs>
        <w:ind w:left="1344" w:hanging="350"/>
      </w:pPr>
      <w:r w:rsidRPr="00D92E4A">
        <w:t xml:space="preserve">The business rates multiplier has been </w:t>
      </w:r>
      <w:r w:rsidR="00C25218" w:rsidRPr="00D92E4A">
        <w:t xml:space="preserve">frozen for </w:t>
      </w:r>
      <w:r w:rsidR="00382F81" w:rsidRPr="00D92E4A">
        <w:t>another year at 49.9p per £ of gross rateable value Local authorities have been compensated for this in Section 31 grant second year running</w:t>
      </w:r>
      <w:r w:rsidR="00D72788" w:rsidRPr="00D92E4A">
        <w:t xml:space="preserve">. </w:t>
      </w:r>
      <w:r w:rsidR="00C6335B">
        <w:t xml:space="preserve">The basis for the annual multiplier on which the compensation is based has changed from the September CPI to RPI </w:t>
      </w:r>
      <w:r w:rsidR="00F50E98">
        <w:t>leading to less core funding for</w:t>
      </w:r>
      <w:r w:rsidR="00C6335B">
        <w:t xml:space="preserve"> local authorities. </w:t>
      </w:r>
    </w:p>
    <w:p w14:paraId="4553AEE7" w14:textId="77777777" w:rsidR="00C25218" w:rsidRDefault="00BB23AD" w:rsidP="00A43EBB">
      <w:pPr>
        <w:pStyle w:val="Bulletpoints"/>
        <w:numPr>
          <w:ilvl w:val="2"/>
          <w:numId w:val="1"/>
        </w:numPr>
        <w:tabs>
          <w:tab w:val="clear" w:pos="1134"/>
          <w:tab w:val="left" w:pos="1344"/>
        </w:tabs>
        <w:ind w:left="1344" w:hanging="350"/>
      </w:pPr>
      <w:r w:rsidRPr="00D92E4A">
        <w:t xml:space="preserve">The planned Review of Relative Needs and Resources (Fair Funding Review) and planned reset to business rates growth will not be implemented in the next 2 years 2023-24 and 2024-25.  </w:t>
      </w:r>
    </w:p>
    <w:p w14:paraId="3669BA59" w14:textId="5461582B" w:rsidR="00C6335B" w:rsidRPr="00D92E4A" w:rsidRDefault="00C6335B" w:rsidP="00A43EBB">
      <w:pPr>
        <w:pStyle w:val="Bulletpoints"/>
        <w:numPr>
          <w:ilvl w:val="2"/>
          <w:numId w:val="1"/>
        </w:numPr>
        <w:tabs>
          <w:tab w:val="clear" w:pos="1134"/>
          <w:tab w:val="left" w:pos="1344"/>
        </w:tabs>
        <w:ind w:left="1344" w:hanging="350"/>
      </w:pPr>
      <w:r>
        <w:t>The business rates revaluation will go ahead as planned on 1-4-2023 although the effect on local authorities will be neutral at the national level</w:t>
      </w:r>
      <w:r w:rsidR="00A43EBB">
        <w:t>.</w:t>
      </w:r>
    </w:p>
    <w:p w14:paraId="111EA76D" w14:textId="77777777" w:rsidR="00C25218" w:rsidRPr="006E4080" w:rsidRDefault="007F3D3C" w:rsidP="00A43EBB">
      <w:pPr>
        <w:pStyle w:val="Bulletpoints"/>
        <w:numPr>
          <w:ilvl w:val="1"/>
          <w:numId w:val="1"/>
        </w:numPr>
        <w:tabs>
          <w:tab w:val="clear" w:pos="1134"/>
          <w:tab w:val="left" w:pos="851"/>
        </w:tabs>
        <w:ind w:left="854" w:hanging="434"/>
      </w:pPr>
      <w:r w:rsidRPr="006E4080">
        <w:rPr>
          <w:b/>
          <w:color w:val="auto"/>
        </w:rPr>
        <w:t>New Homes Bonus -</w:t>
      </w:r>
      <w:r w:rsidRPr="006E4080">
        <w:rPr>
          <w:color w:val="auto"/>
        </w:rPr>
        <w:t xml:space="preserve"> </w:t>
      </w:r>
      <w:r w:rsidRPr="006E4080">
        <w:t xml:space="preserve">The </w:t>
      </w:r>
      <w:r w:rsidR="006E4080" w:rsidRPr="006E4080">
        <w:t>NHB scheme has been extended for one further year 2023-24</w:t>
      </w:r>
      <w:bookmarkStart w:id="1" w:name="_Hlk532484979"/>
      <w:r w:rsidR="006E4080" w:rsidRPr="006E4080">
        <w:t xml:space="preserve">. There are no legacy payments in respect of previous years nor will the 2023-24 allocation have legacy payments attached. </w:t>
      </w:r>
      <w:r w:rsidRPr="006E4080">
        <w:t xml:space="preserve">The </w:t>
      </w:r>
      <w:r w:rsidR="003B1EB9">
        <w:t xml:space="preserve">threshold of tax base increase below which no NHB will be paid has been </w:t>
      </w:r>
      <w:r w:rsidR="006E4080" w:rsidRPr="006E4080">
        <w:t>maintained</w:t>
      </w:r>
      <w:bookmarkEnd w:id="1"/>
      <w:r w:rsidR="003B1EB9">
        <w:t xml:space="preserve"> at 0.4%</w:t>
      </w:r>
      <w:r w:rsidR="0058259E" w:rsidRPr="006E4080">
        <w:t>.</w:t>
      </w:r>
    </w:p>
    <w:p w14:paraId="6009B1D3" w14:textId="77777777" w:rsidR="0058259E" w:rsidRPr="00C6335B" w:rsidRDefault="0058259E" w:rsidP="00A43EBB">
      <w:pPr>
        <w:pStyle w:val="Bulletpoints"/>
        <w:numPr>
          <w:ilvl w:val="1"/>
          <w:numId w:val="1"/>
        </w:numPr>
        <w:tabs>
          <w:tab w:val="clear" w:pos="1134"/>
          <w:tab w:val="left" w:pos="851"/>
        </w:tabs>
        <w:ind w:left="854" w:hanging="434"/>
        <w:rPr>
          <w:rFonts w:cs="Arial"/>
          <w:b/>
          <w:i/>
        </w:rPr>
      </w:pPr>
      <w:r w:rsidRPr="00C6335B">
        <w:rPr>
          <w:rStyle w:val="Style2Char"/>
          <w:rFonts w:ascii="Arial" w:cs="Arial"/>
          <w:bCs/>
          <w:i w:val="0"/>
          <w:color w:val="auto"/>
          <w:sz w:val="24"/>
          <w:szCs w:val="24"/>
        </w:rPr>
        <w:t>2022/23 Services Grant</w:t>
      </w:r>
      <w:r w:rsidRPr="00C6335B">
        <w:rPr>
          <w:rStyle w:val="Style2Char"/>
          <w:rFonts w:ascii="Arial" w:cs="Arial"/>
          <w:i w:val="0"/>
          <w:color w:val="auto"/>
          <w:sz w:val="24"/>
          <w:szCs w:val="24"/>
        </w:rPr>
        <w:t xml:space="preserve"> </w:t>
      </w:r>
      <w:r w:rsidRPr="00C6335B">
        <w:rPr>
          <w:rStyle w:val="Style2Char"/>
          <w:rFonts w:ascii="Arial" w:cs="Arial"/>
          <w:b w:val="0"/>
          <w:i w:val="0"/>
          <w:color w:val="323232"/>
          <w:sz w:val="24"/>
          <w:szCs w:val="24"/>
        </w:rPr>
        <w:t xml:space="preserve">– This </w:t>
      </w:r>
      <w:r w:rsidRPr="00C6335B">
        <w:rPr>
          <w:rStyle w:val="Style2Char"/>
          <w:rFonts w:ascii="Arial" w:cs="Arial"/>
          <w:b w:val="0"/>
          <w:bCs/>
          <w:i w:val="0"/>
          <w:color w:val="323232"/>
          <w:sz w:val="24"/>
          <w:szCs w:val="24"/>
        </w:rPr>
        <w:t xml:space="preserve">new </w:t>
      </w:r>
      <w:r w:rsidR="00C6335B" w:rsidRPr="00C6335B">
        <w:rPr>
          <w:rStyle w:val="Style2Char"/>
          <w:rFonts w:ascii="Arial" w:cs="Arial"/>
          <w:b w:val="0"/>
          <w:bCs/>
          <w:i w:val="0"/>
          <w:color w:val="323232"/>
          <w:sz w:val="24"/>
          <w:szCs w:val="24"/>
          <w:lang w:val="en-GB"/>
        </w:rPr>
        <w:t xml:space="preserve">grant introduced last year has reduced overall from </w:t>
      </w:r>
      <w:r w:rsidRPr="00C6335B">
        <w:rPr>
          <w:rStyle w:val="Style2Char"/>
          <w:rFonts w:ascii="Arial" w:cs="Arial"/>
          <w:b w:val="0"/>
          <w:bCs/>
          <w:i w:val="0"/>
          <w:color w:val="323232"/>
          <w:sz w:val="24"/>
          <w:szCs w:val="24"/>
        </w:rPr>
        <w:t xml:space="preserve">£822m </w:t>
      </w:r>
      <w:r w:rsidR="00C6335B" w:rsidRPr="00C6335B">
        <w:rPr>
          <w:rStyle w:val="Style2Char"/>
          <w:rFonts w:ascii="Arial" w:cs="Arial"/>
          <w:b w:val="0"/>
          <w:bCs/>
          <w:i w:val="0"/>
          <w:color w:val="323232"/>
          <w:sz w:val="24"/>
          <w:szCs w:val="24"/>
          <w:lang w:val="en-GB"/>
        </w:rPr>
        <w:t>to £464 million</w:t>
      </w:r>
      <w:r w:rsidR="008E3109" w:rsidRPr="00C6335B">
        <w:rPr>
          <w:rStyle w:val="Style2Char"/>
          <w:rFonts w:ascii="Arial" w:cs="Arial"/>
          <w:b w:val="0"/>
          <w:i w:val="0"/>
          <w:color w:val="323232"/>
          <w:sz w:val="24"/>
          <w:szCs w:val="24"/>
          <w:lang w:val="en-GB"/>
        </w:rPr>
        <w:t>.</w:t>
      </w:r>
      <w:r w:rsidR="00493890">
        <w:rPr>
          <w:rStyle w:val="Style2Char"/>
          <w:rFonts w:ascii="Arial" w:cs="Arial"/>
          <w:b w:val="0"/>
          <w:i w:val="0"/>
          <w:color w:val="323232"/>
          <w:sz w:val="24"/>
          <w:szCs w:val="24"/>
          <w:lang w:val="en-GB"/>
        </w:rPr>
        <w:t xml:space="preserve"> The Council will receive a one off grant of £243k.</w:t>
      </w:r>
    </w:p>
    <w:p w14:paraId="6EF7D274" w14:textId="77777777" w:rsidR="00C6335B" w:rsidRDefault="006E4080" w:rsidP="00A43EBB">
      <w:pPr>
        <w:pStyle w:val="Bulletpoints"/>
        <w:numPr>
          <w:ilvl w:val="1"/>
          <w:numId w:val="1"/>
        </w:numPr>
        <w:tabs>
          <w:tab w:val="clear" w:pos="1134"/>
          <w:tab w:val="left" w:pos="851"/>
        </w:tabs>
        <w:ind w:left="854" w:hanging="434"/>
      </w:pPr>
      <w:r>
        <w:rPr>
          <w:b/>
        </w:rPr>
        <w:t xml:space="preserve">Revenue support grant – </w:t>
      </w:r>
      <w:r w:rsidRPr="006E4080">
        <w:t>a number of grants have been rolled into Revenue Support Grant. The grant relevant to Oxford City is Co</w:t>
      </w:r>
      <w:r w:rsidR="00C6335B" w:rsidRPr="006E4080">
        <w:t>uncil Tax Support Admin grant</w:t>
      </w:r>
      <w:r w:rsidR="00493890">
        <w:t xml:space="preserve"> of which the Council will receive £197k in line with the budget.</w:t>
      </w:r>
    </w:p>
    <w:p w14:paraId="34518E13" w14:textId="77777777" w:rsidR="007523F4" w:rsidRPr="00382F81" w:rsidRDefault="00382F81" w:rsidP="00A43EBB">
      <w:pPr>
        <w:pStyle w:val="Bulletpoints"/>
        <w:numPr>
          <w:ilvl w:val="1"/>
          <w:numId w:val="1"/>
        </w:numPr>
        <w:tabs>
          <w:tab w:val="clear" w:pos="1134"/>
          <w:tab w:val="left" w:pos="851"/>
        </w:tabs>
        <w:ind w:left="854" w:hanging="434"/>
      </w:pPr>
      <w:r w:rsidRPr="00382F81">
        <w:lastRenderedPageBreak/>
        <w:t xml:space="preserve">A one off </w:t>
      </w:r>
      <w:r w:rsidRPr="00382F81">
        <w:rPr>
          <w:b/>
        </w:rPr>
        <w:t xml:space="preserve">funding guarantee grant </w:t>
      </w:r>
      <w:r w:rsidRPr="00382F81">
        <w:t xml:space="preserve">which replaces the </w:t>
      </w:r>
      <w:r w:rsidR="007523F4" w:rsidRPr="00382F81">
        <w:t>Lower Tier Services Grant</w:t>
      </w:r>
      <w:r w:rsidRPr="00382F81">
        <w:t xml:space="preserve"> and seeks to ensure that all councils will see a minimum 3% increase in C</w:t>
      </w:r>
      <w:r>
        <w:t>o</w:t>
      </w:r>
      <w:r w:rsidRPr="00382F81">
        <w:t>re Spending Power before taking any local decisions on council tax levels</w:t>
      </w:r>
      <w:r>
        <w:t>.</w:t>
      </w:r>
      <w:r w:rsidR="00493890">
        <w:t xml:space="preserve"> The Council will receive a one off grant of £220k.</w:t>
      </w:r>
    </w:p>
    <w:p w14:paraId="37C431F7" w14:textId="77777777" w:rsidR="0062621A" w:rsidRPr="00493890" w:rsidRDefault="006E4080" w:rsidP="008874CA">
      <w:pPr>
        <w:rPr>
          <w:b/>
        </w:rPr>
      </w:pPr>
      <w:r w:rsidRPr="00493890">
        <w:rPr>
          <w:b/>
        </w:rPr>
        <w:t xml:space="preserve">How does this effect the Core </w:t>
      </w:r>
      <w:r w:rsidR="00E239A5">
        <w:rPr>
          <w:b/>
        </w:rPr>
        <w:t>S</w:t>
      </w:r>
      <w:r w:rsidRPr="00493890">
        <w:rPr>
          <w:b/>
        </w:rPr>
        <w:t>pending Power of Oxford City Council?</w:t>
      </w:r>
    </w:p>
    <w:p w14:paraId="7CBD9A02" w14:textId="1E39167E" w:rsidR="006E4080" w:rsidRPr="00493890" w:rsidRDefault="000A1D3E" w:rsidP="00381E9C">
      <w:pPr>
        <w:pStyle w:val="bParagraphtext"/>
        <w:numPr>
          <w:ilvl w:val="0"/>
          <w:numId w:val="28"/>
        </w:numPr>
        <w:ind w:left="420" w:hanging="434"/>
      </w:pPr>
      <w:r w:rsidRPr="00493890">
        <w:t>Core Spending Power measures the overall funding available for local authori</w:t>
      </w:r>
      <w:r w:rsidR="00381E9C">
        <w:t>ties and consists of 4 elements:</w:t>
      </w:r>
    </w:p>
    <w:p w14:paraId="10CA314C" w14:textId="77777777" w:rsidR="000A1D3E" w:rsidRPr="00493890" w:rsidRDefault="000A1D3E" w:rsidP="00381E9C">
      <w:pPr>
        <w:pStyle w:val="bParagraphtext"/>
        <w:numPr>
          <w:ilvl w:val="1"/>
          <w:numId w:val="28"/>
        </w:numPr>
        <w:ind w:left="868" w:hanging="434"/>
      </w:pPr>
      <w:r w:rsidRPr="00493890">
        <w:t xml:space="preserve">Settlement Funding Assessment (SFA) – This consists of 3 funding streams, business rates retention, revenue support grant and tariff/ top up adjustment amounts applied to business rates </w:t>
      </w:r>
    </w:p>
    <w:p w14:paraId="37D1D9BF" w14:textId="77777777" w:rsidR="000A1D3E" w:rsidRPr="00493890" w:rsidRDefault="000A1D3E" w:rsidP="00381E9C">
      <w:pPr>
        <w:pStyle w:val="bParagraphtext"/>
        <w:numPr>
          <w:ilvl w:val="1"/>
          <w:numId w:val="28"/>
        </w:numPr>
        <w:ind w:left="868" w:hanging="434"/>
      </w:pPr>
      <w:r w:rsidRPr="00493890">
        <w:t>Council Tax</w:t>
      </w:r>
    </w:p>
    <w:p w14:paraId="089B4384" w14:textId="77777777" w:rsidR="000A1D3E" w:rsidRPr="00493890" w:rsidRDefault="000A1D3E" w:rsidP="00381E9C">
      <w:pPr>
        <w:pStyle w:val="bParagraphtext"/>
        <w:numPr>
          <w:ilvl w:val="1"/>
          <w:numId w:val="28"/>
        </w:numPr>
        <w:ind w:left="868" w:hanging="434"/>
      </w:pPr>
      <w:r w:rsidRPr="00493890">
        <w:t>New Homes Bonus</w:t>
      </w:r>
    </w:p>
    <w:p w14:paraId="4779CB3C" w14:textId="77777777" w:rsidR="000A1D3E" w:rsidRPr="00493890" w:rsidRDefault="000A1D3E" w:rsidP="00381E9C">
      <w:pPr>
        <w:pStyle w:val="bParagraphtext"/>
        <w:numPr>
          <w:ilvl w:val="1"/>
          <w:numId w:val="28"/>
        </w:numPr>
        <w:ind w:left="868" w:hanging="434"/>
      </w:pPr>
      <w:r w:rsidRPr="00493890">
        <w:t>Specific Grants</w:t>
      </w:r>
    </w:p>
    <w:p w14:paraId="2676A40D" w14:textId="77777777" w:rsidR="000A1D3E" w:rsidRPr="00C739DC" w:rsidRDefault="000A1D3E" w:rsidP="00381E9C">
      <w:pPr>
        <w:pStyle w:val="bParagraphtext"/>
        <w:numPr>
          <w:ilvl w:val="0"/>
          <w:numId w:val="28"/>
        </w:numPr>
        <w:ind w:left="434" w:hanging="448"/>
      </w:pPr>
      <w:r w:rsidRPr="00C739DC">
        <w:t xml:space="preserve">The Government state that that Core Spending Power for local authorities in 2023-24 has increased by 9.2% across England over that of 2022-23. It is important to note that this includes the amount that the government allow local authorities to increase council tax by under its referendum principles. Equally this will also take into account the ability for social case authorities to increase council tax by the additional 2% precept. </w:t>
      </w:r>
    </w:p>
    <w:p w14:paraId="308045BD" w14:textId="6DC89F42" w:rsidR="00EB3CF5" w:rsidRPr="00C739DC" w:rsidRDefault="000A1D3E" w:rsidP="00381E9C">
      <w:pPr>
        <w:pStyle w:val="bParagraphtext"/>
        <w:numPr>
          <w:ilvl w:val="0"/>
          <w:numId w:val="28"/>
        </w:numPr>
        <w:ind w:left="434" w:hanging="448"/>
      </w:pPr>
      <w:r w:rsidRPr="00C739DC">
        <w:t xml:space="preserve">Core Spending Power for Oxford City Council has increased by 4.9% over 2022-23 </w:t>
      </w:r>
      <w:r w:rsidR="00381E9C">
        <w:t>as shown in the following table</w:t>
      </w:r>
      <w:r w:rsidRPr="00C739DC">
        <w:t>:</w:t>
      </w:r>
    </w:p>
    <w:p w14:paraId="44003448" w14:textId="77777777" w:rsidR="00EB3CF5" w:rsidRPr="00C739DC" w:rsidRDefault="00EB3CF5" w:rsidP="00EB3CF5">
      <w:pPr>
        <w:pStyle w:val="bParagraphtext"/>
        <w:numPr>
          <w:ilvl w:val="0"/>
          <w:numId w:val="0"/>
        </w:numPr>
        <w:ind w:left="360" w:hanging="360"/>
      </w:pPr>
    </w:p>
    <w:p w14:paraId="56E29914" w14:textId="77777777" w:rsidR="00EB3CF5" w:rsidRPr="00C739DC" w:rsidRDefault="00EB3CF5" w:rsidP="00EB3CF5">
      <w:pPr>
        <w:pStyle w:val="bParagraphtext"/>
        <w:numPr>
          <w:ilvl w:val="0"/>
          <w:numId w:val="0"/>
        </w:numPr>
        <w:ind w:left="360" w:hanging="360"/>
      </w:pPr>
    </w:p>
    <w:p w14:paraId="4E1775D2" w14:textId="77777777" w:rsidR="00EB3CF5" w:rsidRPr="00C739DC" w:rsidRDefault="00EB3CF5" w:rsidP="00EB3CF5">
      <w:pPr>
        <w:pStyle w:val="bParagraphtext"/>
        <w:numPr>
          <w:ilvl w:val="0"/>
          <w:numId w:val="0"/>
        </w:numPr>
        <w:ind w:left="360" w:hanging="360"/>
      </w:pPr>
    </w:p>
    <w:p w14:paraId="750FE628" w14:textId="77777777" w:rsidR="00EB3CF5" w:rsidRPr="00C739DC" w:rsidRDefault="00EB3CF5" w:rsidP="00EB3CF5">
      <w:pPr>
        <w:pStyle w:val="bParagraphtext"/>
        <w:numPr>
          <w:ilvl w:val="0"/>
          <w:numId w:val="0"/>
        </w:numPr>
        <w:ind w:left="360" w:hanging="360"/>
      </w:pPr>
      <w:r w:rsidRPr="00C739DC">
        <w:rPr>
          <w:noProof/>
        </w:rPr>
        <w:lastRenderedPageBreak/>
        <w:drawing>
          <wp:inline distT="0" distB="0" distL="0" distR="0" wp14:anchorId="47E86813" wp14:editId="39ED7114">
            <wp:extent cx="5561965" cy="3082477"/>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965" cy="3082477"/>
                    </a:xfrm>
                    <a:prstGeom prst="rect">
                      <a:avLst/>
                    </a:prstGeom>
                    <a:noFill/>
                    <a:ln>
                      <a:noFill/>
                    </a:ln>
                  </pic:spPr>
                </pic:pic>
              </a:graphicData>
            </a:graphic>
          </wp:inline>
        </w:drawing>
      </w:r>
    </w:p>
    <w:p w14:paraId="7DFD89CF" w14:textId="77777777" w:rsidR="0073211F" w:rsidRDefault="0073211F" w:rsidP="00381E9C">
      <w:pPr>
        <w:rPr>
          <w:b/>
        </w:rPr>
      </w:pPr>
      <w:r w:rsidRPr="0073211F">
        <w:rPr>
          <w:b/>
        </w:rPr>
        <w:t>Council Tax Support Fund</w:t>
      </w:r>
    </w:p>
    <w:p w14:paraId="311399D4" w14:textId="4A9FEE30" w:rsidR="00054003" w:rsidRDefault="004B372F" w:rsidP="00381E9C">
      <w:pPr>
        <w:ind w:left="532" w:hanging="518"/>
      </w:pPr>
      <w:r>
        <w:t>11</w:t>
      </w:r>
      <w:r w:rsidR="0057392D">
        <w:t>.</w:t>
      </w:r>
      <w:r>
        <w:tab/>
      </w:r>
      <w:r w:rsidR="00054003">
        <w:t xml:space="preserve">The Council has once again retained its 100% Council Tax Reduction scheme.  Within the scheme the Council, as in previous years, has used its discretion to disregard all income above the statutory disregard amount of £10 at a cost of approximately £18k per annum.  </w:t>
      </w:r>
    </w:p>
    <w:p w14:paraId="029CBF04" w14:textId="4026CD22" w:rsidR="0073211F" w:rsidRPr="00033407" w:rsidRDefault="00054003" w:rsidP="00381E9C">
      <w:pPr>
        <w:ind w:left="532" w:hanging="518"/>
      </w:pPr>
      <w:r>
        <w:t>12.</w:t>
      </w:r>
      <w:r>
        <w:tab/>
      </w:r>
      <w:r w:rsidR="0073211F" w:rsidRPr="00033407">
        <w:t xml:space="preserve">Alongside the 2023-24 provisional settlement the Government also announced </w:t>
      </w:r>
      <w:r w:rsidR="00033407" w:rsidRPr="00033407">
        <w:t xml:space="preserve">£100 million of new grant funding to support the most vulnerable households in England. The funding is aimed at delivering additional support to the 3.8 million of households already receiving council tax support, whilst also providing councils with the resources and flexibility to determine local approaches to support other vulnerable households in the area. </w:t>
      </w:r>
    </w:p>
    <w:p w14:paraId="5258B6D2" w14:textId="3043EB84" w:rsidR="00033407" w:rsidRPr="00033407" w:rsidRDefault="008B4AB5" w:rsidP="00381E9C">
      <w:pPr>
        <w:ind w:left="532" w:hanging="518"/>
      </w:pPr>
      <w:r>
        <w:t>13</w:t>
      </w:r>
      <w:r w:rsidR="0057392D">
        <w:t>.</w:t>
      </w:r>
      <w:r w:rsidR="004B372F">
        <w:tab/>
      </w:r>
      <w:r w:rsidR="00033407" w:rsidRPr="00033407">
        <w:t>The funding is for the 2023-24 financial year and the Council</w:t>
      </w:r>
      <w:r w:rsidR="00977030">
        <w:t>’</w:t>
      </w:r>
      <w:r w:rsidR="00033407" w:rsidRPr="00033407">
        <w:t xml:space="preserve">s allocation is £244,230. The expectation is that the majority of the funding will be used </w:t>
      </w:r>
      <w:r w:rsidR="00033407" w:rsidRPr="00033407">
        <w:lastRenderedPageBreak/>
        <w:t>to reduce bills for current working age and pension age Local Council Tax Support claimants by up to £25. Councils can use the remaining allocation as they see fit to support vulnerable households with council tax bills claimants</w:t>
      </w:r>
      <w:r w:rsidR="001B084F">
        <w:t>.</w:t>
      </w:r>
      <w:r w:rsidR="00033407" w:rsidRPr="00033407">
        <w:t xml:space="preserve"> </w:t>
      </w:r>
    </w:p>
    <w:p w14:paraId="306A833D" w14:textId="299F215F" w:rsidR="0073211F" w:rsidRDefault="008B4AB5" w:rsidP="00381E9C">
      <w:pPr>
        <w:pStyle w:val="bParagraphtext"/>
        <w:numPr>
          <w:ilvl w:val="0"/>
          <w:numId w:val="0"/>
        </w:numPr>
        <w:ind w:left="532" w:hanging="518"/>
      </w:pPr>
      <w:r>
        <w:t>14</w:t>
      </w:r>
      <w:r w:rsidR="0057392D">
        <w:t>.</w:t>
      </w:r>
      <w:r w:rsidR="004B372F">
        <w:tab/>
      </w:r>
      <w:r w:rsidR="00381E9C">
        <w:tab/>
      </w:r>
      <w:r w:rsidR="00033407" w:rsidRPr="00033407">
        <w:t>The Council cu</w:t>
      </w:r>
      <w:r w:rsidR="00C71CD0">
        <w:t>rrently has 2,521 claimants on Council T</w:t>
      </w:r>
      <w:r w:rsidR="00033407" w:rsidRPr="00033407">
        <w:t xml:space="preserve">ax support and applying a £25 amount to these accounts would cost around £63k leaving approximately £181k to be used for discretionary council tax </w:t>
      </w:r>
      <w:r w:rsidR="00033407" w:rsidRPr="009C55EB">
        <w:t>relief</w:t>
      </w:r>
      <w:r w:rsidR="00977030" w:rsidRPr="009C55EB">
        <w:t>.</w:t>
      </w:r>
      <w:r w:rsidR="000A1D3E" w:rsidRPr="009C55EB">
        <w:t xml:space="preserve">  </w:t>
      </w:r>
      <w:r w:rsidR="00890F43" w:rsidRPr="009C55EB">
        <w:t xml:space="preserve">Additionally the Council has been awarded </w:t>
      </w:r>
      <w:r w:rsidR="001E2F3F" w:rsidRPr="009C55EB">
        <w:t xml:space="preserve">an amount by Oxfordshire </w:t>
      </w:r>
      <w:r w:rsidR="00890F43" w:rsidRPr="009C55EB">
        <w:t>County Council of up to £108,886 in 2023-24 as match funding for use on council tax hardship relief</w:t>
      </w:r>
      <w:r w:rsidR="003A73BC" w:rsidRPr="009C55EB">
        <w:t>, which we will deploy to assist those in need and who potentially “fall through the cracks” of current schemes</w:t>
      </w:r>
      <w:r w:rsidR="00890F43" w:rsidRPr="009C55EB">
        <w:t>.</w:t>
      </w:r>
      <w:r w:rsidR="003A73BC" w:rsidRPr="009C55EB">
        <w:t xml:space="preserve">  It reflects our shared commitm</w:t>
      </w:r>
      <w:r w:rsidR="003A73BC">
        <w:t>ent to tackling hardship during the “cost of living crisis”.</w:t>
      </w:r>
    </w:p>
    <w:p w14:paraId="013989B0" w14:textId="48932D4C" w:rsidR="006E4080" w:rsidRPr="00C739DC" w:rsidRDefault="001124AD" w:rsidP="00381E9C">
      <w:pPr>
        <w:pStyle w:val="bParagraphtext"/>
        <w:numPr>
          <w:ilvl w:val="0"/>
          <w:numId w:val="0"/>
        </w:numPr>
        <w:ind w:hanging="360"/>
        <w:rPr>
          <w:b/>
        </w:rPr>
      </w:pPr>
      <w:r>
        <w:rPr>
          <w:b/>
        </w:rPr>
        <w:tab/>
      </w:r>
      <w:r w:rsidR="00493890" w:rsidRPr="00C739DC">
        <w:rPr>
          <w:b/>
        </w:rPr>
        <w:t>Other Grants</w:t>
      </w:r>
    </w:p>
    <w:p w14:paraId="7423AF37" w14:textId="3AB45D51" w:rsidR="00483BE3" w:rsidRPr="00C739DC" w:rsidRDefault="007B60FA" w:rsidP="008B4AB5">
      <w:pPr>
        <w:pStyle w:val="bParagraphtext"/>
        <w:numPr>
          <w:ilvl w:val="0"/>
          <w:numId w:val="36"/>
        </w:numPr>
        <w:tabs>
          <w:tab w:val="clear" w:pos="426"/>
          <w:tab w:val="left" w:pos="532"/>
        </w:tabs>
        <w:ind w:left="546" w:hanging="546"/>
      </w:pPr>
      <w:r w:rsidRPr="00C739DC">
        <w:t>On 23</w:t>
      </w:r>
      <w:r w:rsidRPr="00C739DC">
        <w:rPr>
          <w:vertAlign w:val="superscript"/>
        </w:rPr>
        <w:t>rd</w:t>
      </w:r>
      <w:r w:rsidRPr="00C739DC">
        <w:t xml:space="preserve"> December Government announced allocations of</w:t>
      </w:r>
      <w:r w:rsidRPr="00C739DC">
        <w:rPr>
          <w:b/>
        </w:rPr>
        <w:t xml:space="preserve"> Homelessness Prevention Grant t</w:t>
      </w:r>
      <w:r w:rsidRPr="00C739DC">
        <w:t>o Local Authorities for 2023-24 and 2024-25. The Grant allocation</w:t>
      </w:r>
      <w:r w:rsidR="00E239A5">
        <w:t>s</w:t>
      </w:r>
      <w:r w:rsidRPr="00C739DC">
        <w:t xml:space="preserve"> for the Council </w:t>
      </w:r>
      <w:r w:rsidR="00E239A5">
        <w:t>are</w:t>
      </w:r>
      <w:r w:rsidRPr="00C739DC">
        <w:t xml:space="preserve"> £1.096 million and </w:t>
      </w:r>
      <w:r w:rsidR="00C739DC" w:rsidRPr="00C739DC">
        <w:t xml:space="preserve">£1.109 million for these years respectively, which had been assumed in the Consultation Budget. </w:t>
      </w:r>
      <w:r w:rsidR="0006080A">
        <w:t xml:space="preserve">The Governments short term allocation of these monies makes it difficult to plan going forward and the Council currently holds an earmarked reserve of approximately £3 million in the event that this grant funding is reduced. </w:t>
      </w:r>
    </w:p>
    <w:p w14:paraId="6E831462" w14:textId="6905BA08" w:rsidR="00493890" w:rsidRPr="00033F8C" w:rsidRDefault="001124AD" w:rsidP="00381E9C">
      <w:pPr>
        <w:pStyle w:val="bParagraphtext"/>
        <w:numPr>
          <w:ilvl w:val="0"/>
          <w:numId w:val="0"/>
        </w:numPr>
        <w:ind w:hanging="744"/>
        <w:rPr>
          <w:b/>
        </w:rPr>
      </w:pPr>
      <w:r>
        <w:rPr>
          <w:b/>
        </w:rPr>
        <w:tab/>
      </w:r>
      <w:r w:rsidR="00493890" w:rsidRPr="00033F8C">
        <w:rPr>
          <w:b/>
        </w:rPr>
        <w:t>Inflation/ Interest Rates</w:t>
      </w:r>
    </w:p>
    <w:p w14:paraId="35B1E17C" w14:textId="77777777" w:rsidR="005D3FB5" w:rsidRPr="00033F8C" w:rsidRDefault="00CB3188" w:rsidP="008B4AB5">
      <w:pPr>
        <w:pStyle w:val="bParagraphtext"/>
        <w:numPr>
          <w:ilvl w:val="0"/>
          <w:numId w:val="36"/>
        </w:numPr>
        <w:tabs>
          <w:tab w:val="clear" w:pos="426"/>
          <w:tab w:val="left" w:pos="546"/>
        </w:tabs>
        <w:ind w:left="560" w:hanging="574"/>
      </w:pPr>
      <w:r w:rsidRPr="00033F8C">
        <w:t>The Consumer Prices Index</w:t>
      </w:r>
      <w:r w:rsidR="00E1382D" w:rsidRPr="00033F8C">
        <w:t xml:space="preserve"> </w:t>
      </w:r>
      <w:r w:rsidR="00033F8C" w:rsidRPr="00033F8C">
        <w:t>in November was 10.7% down from the 11.1% in the year to the end of October 2022. Current forecasts would indicate that rates will fall back in 2023 to around 7.4% and then 0.6% in 2024</w:t>
      </w:r>
      <w:r w:rsidR="00E65001" w:rsidRPr="00033F8C">
        <w:t>.</w:t>
      </w:r>
    </w:p>
    <w:p w14:paraId="0424273F" w14:textId="77777777" w:rsidR="0062621A" w:rsidRPr="00033F8C" w:rsidRDefault="00033F8C" w:rsidP="008B4AB5">
      <w:pPr>
        <w:pStyle w:val="bParagraphtext"/>
        <w:numPr>
          <w:ilvl w:val="0"/>
          <w:numId w:val="36"/>
        </w:numPr>
        <w:tabs>
          <w:tab w:val="clear" w:pos="426"/>
          <w:tab w:val="left" w:pos="546"/>
        </w:tabs>
        <w:ind w:left="560" w:hanging="574"/>
      </w:pPr>
      <w:r w:rsidRPr="00033F8C">
        <w:t>On the 15</w:t>
      </w:r>
      <w:r w:rsidRPr="00033F8C">
        <w:rPr>
          <w:vertAlign w:val="superscript"/>
        </w:rPr>
        <w:t>th</w:t>
      </w:r>
      <w:r w:rsidRPr="00033F8C">
        <w:t xml:space="preserve"> December 2022 the Bank of England raised </w:t>
      </w:r>
      <w:r w:rsidR="00977030">
        <w:t xml:space="preserve">the </w:t>
      </w:r>
      <w:r w:rsidRPr="00033F8C">
        <w:t>base rate from 3% to 3.5%. Whilst there is speculation that there are yet more interest rate rises to come</w:t>
      </w:r>
      <w:r w:rsidR="00977030">
        <w:t>,</w:t>
      </w:r>
      <w:r w:rsidRPr="00033F8C">
        <w:t xml:space="preserve"> possibly to a peak of 4.5% by December 2023 </w:t>
      </w:r>
      <w:r w:rsidRPr="00033F8C">
        <w:lastRenderedPageBreak/>
        <w:t>these rates are expected to fall back in 2024 settling back at around 2.5%.</w:t>
      </w:r>
      <w:r w:rsidR="00977030">
        <w:t xml:space="preserve"> </w:t>
      </w:r>
      <w:r w:rsidR="00E1382D" w:rsidRPr="00033F8C">
        <w:t>In the longer term there would be a financial impact on the Hous</w:t>
      </w:r>
      <w:r w:rsidR="005D3FB5" w:rsidRPr="00033F8C">
        <w:t xml:space="preserve">ing Company and equally the HRA. A 1% increase in borrowing interest rates could increase capital charges in the HRA by around £1.5 million per annum although HRA </w:t>
      </w:r>
      <w:r w:rsidR="008E30B8" w:rsidRPr="00033F8C">
        <w:t xml:space="preserve">the assumption </w:t>
      </w:r>
      <w:r w:rsidRPr="00033F8C">
        <w:t xml:space="preserve">over the 40 year business plan is </w:t>
      </w:r>
      <w:r w:rsidR="008E30B8" w:rsidRPr="00033F8C">
        <w:t xml:space="preserve">that interest is charged at 3% </w:t>
      </w:r>
      <w:r w:rsidRPr="00033F8C">
        <w:t xml:space="preserve">which </w:t>
      </w:r>
      <w:r w:rsidR="005D3FB5" w:rsidRPr="00033F8C">
        <w:t>allow</w:t>
      </w:r>
      <w:r w:rsidR="008E30B8" w:rsidRPr="00033F8C">
        <w:t>s</w:t>
      </w:r>
      <w:r w:rsidR="005D3FB5" w:rsidRPr="00033F8C">
        <w:t xml:space="preserve"> for some mitigation of these rises.   </w:t>
      </w:r>
    </w:p>
    <w:p w14:paraId="7A023D27" w14:textId="77777777" w:rsidR="0062621A" w:rsidRPr="007B60FA" w:rsidRDefault="00EB3CF5" w:rsidP="00381E9C">
      <w:pPr>
        <w:pStyle w:val="Heading1"/>
      </w:pPr>
      <w:r w:rsidRPr="007B60FA">
        <w:t>Impact on the Council</w:t>
      </w:r>
      <w:r w:rsidR="00977030">
        <w:t>’</w:t>
      </w:r>
      <w:r w:rsidRPr="007B60FA">
        <w:t>s Budget since Consultation Budget</w:t>
      </w:r>
    </w:p>
    <w:p w14:paraId="42F0F3E2" w14:textId="77777777" w:rsidR="0009448D" w:rsidRPr="007B60FA" w:rsidRDefault="0009448D" w:rsidP="00381E9C">
      <w:pPr>
        <w:pStyle w:val="Heading1"/>
      </w:pPr>
      <w:r w:rsidRPr="007B60FA">
        <w:t>Retained Business Rates</w:t>
      </w:r>
    </w:p>
    <w:p w14:paraId="30C9028A" w14:textId="77777777" w:rsidR="0023019A" w:rsidRPr="007B60FA" w:rsidRDefault="0009448D" w:rsidP="008B4AB5">
      <w:pPr>
        <w:pStyle w:val="bParagraphtext"/>
        <w:numPr>
          <w:ilvl w:val="0"/>
          <w:numId w:val="36"/>
        </w:numPr>
        <w:tabs>
          <w:tab w:val="clear" w:pos="426"/>
        </w:tabs>
        <w:ind w:left="546" w:hanging="532"/>
      </w:pPr>
      <w:r w:rsidRPr="007B60FA">
        <w:t xml:space="preserve">The actual amount of </w:t>
      </w:r>
      <w:r w:rsidR="00C965E4" w:rsidRPr="007B60FA">
        <w:t>R</w:t>
      </w:r>
      <w:r w:rsidRPr="007B60FA">
        <w:t xml:space="preserve">etained </w:t>
      </w:r>
      <w:r w:rsidR="00C965E4" w:rsidRPr="007B60FA">
        <w:t>B</w:t>
      </w:r>
      <w:r w:rsidRPr="007B60FA">
        <w:t xml:space="preserve">usiness </w:t>
      </w:r>
      <w:r w:rsidR="00C965E4" w:rsidRPr="007B60FA">
        <w:t>R</w:t>
      </w:r>
      <w:r w:rsidRPr="007B60FA">
        <w:t xml:space="preserve">ates depends on a number of factors including the estimated amount of business rates income </w:t>
      </w:r>
      <w:r w:rsidR="00C53613" w:rsidRPr="007B60FA">
        <w:t xml:space="preserve">net of </w:t>
      </w:r>
      <w:r w:rsidRPr="007B60FA">
        <w:t xml:space="preserve">appeals and write offs, the tariff payable to the Government </w:t>
      </w:r>
      <w:r w:rsidR="00C53613" w:rsidRPr="007B60FA">
        <w:t xml:space="preserve">and </w:t>
      </w:r>
      <w:r w:rsidR="00826488" w:rsidRPr="007B60FA">
        <w:t xml:space="preserve">the levy paid </w:t>
      </w:r>
    </w:p>
    <w:p w14:paraId="1FDF7FDA" w14:textId="2D0448FF" w:rsidR="00894084" w:rsidRPr="007B60FA" w:rsidRDefault="00826488" w:rsidP="008B4AB5">
      <w:pPr>
        <w:pStyle w:val="bParagraphtext"/>
        <w:numPr>
          <w:ilvl w:val="0"/>
          <w:numId w:val="36"/>
        </w:numPr>
        <w:tabs>
          <w:tab w:val="clear" w:pos="426"/>
        </w:tabs>
        <w:ind w:left="546" w:hanging="532"/>
      </w:pPr>
      <w:r w:rsidRPr="007B60FA">
        <w:t xml:space="preserve">Almost certainly the </w:t>
      </w:r>
      <w:r w:rsidR="00882E39" w:rsidRPr="007B60FA">
        <w:t>B</w:t>
      </w:r>
      <w:r w:rsidRPr="007B60FA">
        <w:t xml:space="preserve">aseline </w:t>
      </w:r>
      <w:r w:rsidR="00882E39" w:rsidRPr="007B60FA">
        <w:t>F</w:t>
      </w:r>
      <w:r w:rsidRPr="007B60FA">
        <w:t xml:space="preserve">unding </w:t>
      </w:r>
      <w:r w:rsidR="00882E39" w:rsidRPr="007B60FA">
        <w:t>L</w:t>
      </w:r>
      <w:r w:rsidRPr="007B60FA">
        <w:t xml:space="preserve">evel will not be the amount the authority eventually receives </w:t>
      </w:r>
      <w:r w:rsidR="00C3017F" w:rsidRPr="007B60FA">
        <w:t xml:space="preserve">in </w:t>
      </w:r>
      <w:r w:rsidRPr="007B60FA">
        <w:t>Retained Business Rates.</w:t>
      </w:r>
      <w:r w:rsidR="00A23AEA" w:rsidRPr="007B60FA">
        <w:t xml:space="preserve"> </w:t>
      </w:r>
      <w:r w:rsidR="00470C84" w:rsidRPr="007B60FA">
        <w:t xml:space="preserve">The confirmation of compensation for freezing of the multiplier and also the delay to fairer funding for another year has increased the estimated income from business rates compared to the consultation budget. </w:t>
      </w:r>
      <w:r w:rsidR="00A23AEA" w:rsidRPr="007B60FA">
        <w:t xml:space="preserve">A summary of the changes is </w:t>
      </w:r>
      <w:r w:rsidR="00CA5870" w:rsidRPr="007B60FA">
        <w:t>shown</w:t>
      </w:r>
      <w:r w:rsidR="00A23AEA" w:rsidRPr="007B60FA">
        <w:t xml:space="preserve"> below</w:t>
      </w:r>
      <w:r w:rsidR="003A69C5" w:rsidRPr="007B60FA">
        <w:t xml:space="preserve"> </w:t>
      </w:r>
      <w:r w:rsidR="009902B7" w:rsidRPr="007B60FA">
        <w:t xml:space="preserve">but it should be noted that there </w:t>
      </w:r>
      <w:r w:rsidR="00042A94" w:rsidRPr="007B60FA">
        <w:t>can be</w:t>
      </w:r>
      <w:r w:rsidR="009902B7" w:rsidRPr="007B60FA">
        <w:t xml:space="preserve"> substantial </w:t>
      </w:r>
      <w:r w:rsidR="00042A94" w:rsidRPr="007B60FA">
        <w:t>volatility</w:t>
      </w:r>
      <w:r w:rsidR="009902B7" w:rsidRPr="007B60FA">
        <w:t xml:space="preserve"> around these figures</w:t>
      </w:r>
      <w:r w:rsidR="00A23AEA" w:rsidRPr="007B60FA">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470"/>
        <w:gridCol w:w="1470"/>
        <w:gridCol w:w="1470"/>
        <w:gridCol w:w="1470"/>
      </w:tblGrid>
      <w:tr w:rsidR="00173676" w:rsidRPr="007B60FA" w14:paraId="7FC7CA29" w14:textId="77777777" w:rsidTr="00D26557">
        <w:tc>
          <w:tcPr>
            <w:tcW w:w="8612" w:type="dxa"/>
            <w:gridSpan w:val="5"/>
            <w:shd w:val="clear" w:color="auto" w:fill="FFFFFF" w:themeFill="background1"/>
            <w:vAlign w:val="center"/>
          </w:tcPr>
          <w:p w14:paraId="5C38880A" w14:textId="77777777" w:rsidR="00173676" w:rsidRPr="007B60FA" w:rsidRDefault="00173676" w:rsidP="00CF7721">
            <w:pPr>
              <w:ind w:right="386"/>
              <w:jc w:val="center"/>
              <w:rPr>
                <w:b/>
              </w:rPr>
            </w:pPr>
            <w:r w:rsidRPr="007B60FA">
              <w:rPr>
                <w:b/>
              </w:rPr>
              <w:t xml:space="preserve">Table </w:t>
            </w:r>
            <w:r w:rsidR="00CF7721" w:rsidRPr="007B60FA">
              <w:rPr>
                <w:b/>
              </w:rPr>
              <w:t>2</w:t>
            </w:r>
            <w:r w:rsidR="0016558A" w:rsidRPr="007B60FA">
              <w:rPr>
                <w:b/>
              </w:rPr>
              <w:t>:</w:t>
            </w:r>
            <w:r w:rsidRPr="007B60FA">
              <w:rPr>
                <w:b/>
              </w:rPr>
              <w:t xml:space="preserve"> Change In Business Rates since Consultation Budget</w:t>
            </w:r>
          </w:p>
        </w:tc>
      </w:tr>
      <w:tr w:rsidR="0016558A" w:rsidRPr="007B60FA" w14:paraId="013FB25A" w14:textId="77777777" w:rsidTr="009E1183">
        <w:trPr>
          <w:trHeight w:val="1188"/>
        </w:trPr>
        <w:tc>
          <w:tcPr>
            <w:tcW w:w="2732" w:type="dxa"/>
            <w:shd w:val="clear" w:color="auto" w:fill="D9D9D9"/>
          </w:tcPr>
          <w:p w14:paraId="2EA381A1" w14:textId="77777777" w:rsidR="0016558A" w:rsidRPr="007B60FA" w:rsidRDefault="0016558A" w:rsidP="00945364">
            <w:pPr>
              <w:ind w:right="386"/>
              <w:jc w:val="both"/>
              <w:rPr>
                <w:b/>
              </w:rPr>
            </w:pPr>
          </w:p>
        </w:tc>
        <w:tc>
          <w:tcPr>
            <w:tcW w:w="1470" w:type="dxa"/>
            <w:shd w:val="clear" w:color="auto" w:fill="D9D9D9"/>
          </w:tcPr>
          <w:p w14:paraId="51B0C558" w14:textId="77777777" w:rsidR="0016558A" w:rsidRPr="007B60FA" w:rsidRDefault="0016558A" w:rsidP="0015635F">
            <w:pPr>
              <w:ind w:right="386"/>
              <w:jc w:val="center"/>
              <w:rPr>
                <w:b/>
              </w:rPr>
            </w:pPr>
            <w:r w:rsidRPr="007B60FA">
              <w:rPr>
                <w:b/>
              </w:rPr>
              <w:t>202</w:t>
            </w:r>
            <w:r w:rsidR="00EB3CF5" w:rsidRPr="007B60FA">
              <w:rPr>
                <w:b/>
              </w:rPr>
              <w:t>3</w:t>
            </w:r>
            <w:r w:rsidRPr="007B60FA">
              <w:rPr>
                <w:b/>
              </w:rPr>
              <w:t>/2</w:t>
            </w:r>
            <w:r w:rsidR="00EB3CF5" w:rsidRPr="007B60FA">
              <w:rPr>
                <w:b/>
              </w:rPr>
              <w:t>4</w:t>
            </w:r>
          </w:p>
          <w:p w14:paraId="058FA23B" w14:textId="77777777" w:rsidR="0016558A" w:rsidRPr="007B60FA" w:rsidRDefault="0016558A" w:rsidP="0015635F">
            <w:pPr>
              <w:ind w:right="386"/>
              <w:jc w:val="center"/>
              <w:rPr>
                <w:b/>
              </w:rPr>
            </w:pPr>
            <w:r w:rsidRPr="007B60FA">
              <w:rPr>
                <w:b/>
              </w:rPr>
              <w:t>£000’s</w:t>
            </w:r>
          </w:p>
        </w:tc>
        <w:tc>
          <w:tcPr>
            <w:tcW w:w="1470" w:type="dxa"/>
            <w:shd w:val="clear" w:color="auto" w:fill="D9D9D9"/>
          </w:tcPr>
          <w:p w14:paraId="724F5C11" w14:textId="77777777" w:rsidR="0016558A" w:rsidRPr="007B60FA" w:rsidRDefault="009E1183" w:rsidP="0015635F">
            <w:pPr>
              <w:ind w:right="386"/>
              <w:jc w:val="center"/>
              <w:rPr>
                <w:b/>
              </w:rPr>
            </w:pPr>
            <w:r w:rsidRPr="007B60FA">
              <w:rPr>
                <w:b/>
              </w:rPr>
              <w:t>20</w:t>
            </w:r>
            <w:r w:rsidR="002D147C" w:rsidRPr="007B60FA">
              <w:rPr>
                <w:b/>
              </w:rPr>
              <w:t>2</w:t>
            </w:r>
            <w:r w:rsidR="00EB3CF5" w:rsidRPr="007B60FA">
              <w:rPr>
                <w:b/>
              </w:rPr>
              <w:t>4</w:t>
            </w:r>
            <w:r w:rsidR="0016558A" w:rsidRPr="007B60FA">
              <w:rPr>
                <w:b/>
              </w:rPr>
              <w:t>/2</w:t>
            </w:r>
            <w:r w:rsidR="00EB3CF5" w:rsidRPr="007B60FA">
              <w:rPr>
                <w:b/>
              </w:rPr>
              <w:t>5</w:t>
            </w:r>
          </w:p>
          <w:p w14:paraId="698BDF93" w14:textId="77777777" w:rsidR="0016558A" w:rsidRPr="007B60FA" w:rsidRDefault="0015635F" w:rsidP="0015635F">
            <w:pPr>
              <w:tabs>
                <w:tab w:val="center" w:pos="635"/>
              </w:tabs>
              <w:rPr>
                <w:b/>
              </w:rPr>
            </w:pPr>
            <w:r w:rsidRPr="007B60FA">
              <w:rPr>
                <w:b/>
              </w:rPr>
              <w:t>E</w:t>
            </w:r>
            <w:r w:rsidR="0016558A" w:rsidRPr="007B60FA">
              <w:rPr>
                <w:b/>
              </w:rPr>
              <w:t>st</w:t>
            </w:r>
          </w:p>
          <w:p w14:paraId="360CFDB8" w14:textId="77777777" w:rsidR="0016558A" w:rsidRPr="007B60FA" w:rsidRDefault="0016558A" w:rsidP="0015635F">
            <w:pPr>
              <w:ind w:right="386"/>
              <w:jc w:val="center"/>
              <w:rPr>
                <w:b/>
              </w:rPr>
            </w:pPr>
            <w:r w:rsidRPr="007B60FA">
              <w:rPr>
                <w:b/>
              </w:rPr>
              <w:t>£000’s</w:t>
            </w:r>
          </w:p>
        </w:tc>
        <w:tc>
          <w:tcPr>
            <w:tcW w:w="1470" w:type="dxa"/>
            <w:shd w:val="clear" w:color="auto" w:fill="D9D9D9"/>
          </w:tcPr>
          <w:p w14:paraId="2B6E443A" w14:textId="77777777" w:rsidR="0016558A" w:rsidRPr="007B60FA" w:rsidRDefault="0016558A" w:rsidP="0015635F">
            <w:pPr>
              <w:ind w:right="386"/>
              <w:jc w:val="center"/>
              <w:rPr>
                <w:b/>
              </w:rPr>
            </w:pPr>
            <w:r w:rsidRPr="007B60FA">
              <w:rPr>
                <w:b/>
              </w:rPr>
              <w:t>202</w:t>
            </w:r>
            <w:r w:rsidR="00EB3CF5" w:rsidRPr="007B60FA">
              <w:rPr>
                <w:b/>
              </w:rPr>
              <w:t>5</w:t>
            </w:r>
            <w:r w:rsidRPr="007B60FA">
              <w:rPr>
                <w:b/>
              </w:rPr>
              <w:t>/2</w:t>
            </w:r>
            <w:r w:rsidR="00EB3CF5" w:rsidRPr="007B60FA">
              <w:rPr>
                <w:b/>
              </w:rPr>
              <w:t>6</w:t>
            </w:r>
          </w:p>
          <w:p w14:paraId="403C2A61" w14:textId="77777777" w:rsidR="0016558A" w:rsidRPr="007B60FA" w:rsidRDefault="0016558A" w:rsidP="0015635F">
            <w:pPr>
              <w:ind w:right="386"/>
              <w:jc w:val="center"/>
              <w:rPr>
                <w:b/>
              </w:rPr>
            </w:pPr>
            <w:r w:rsidRPr="007B60FA">
              <w:rPr>
                <w:b/>
              </w:rPr>
              <w:t>Est</w:t>
            </w:r>
          </w:p>
          <w:p w14:paraId="5F32A5C0" w14:textId="77777777" w:rsidR="0016558A" w:rsidRPr="007B60FA" w:rsidRDefault="0016558A" w:rsidP="0015635F">
            <w:pPr>
              <w:ind w:right="386"/>
              <w:jc w:val="center"/>
              <w:rPr>
                <w:b/>
              </w:rPr>
            </w:pPr>
            <w:r w:rsidRPr="007B60FA">
              <w:rPr>
                <w:b/>
              </w:rPr>
              <w:t>£000’s</w:t>
            </w:r>
          </w:p>
        </w:tc>
        <w:tc>
          <w:tcPr>
            <w:tcW w:w="1470" w:type="dxa"/>
            <w:shd w:val="clear" w:color="auto" w:fill="D9D9D9"/>
          </w:tcPr>
          <w:p w14:paraId="350DA0C6" w14:textId="77777777" w:rsidR="0016558A" w:rsidRPr="007B60FA" w:rsidRDefault="0016558A" w:rsidP="0015635F">
            <w:pPr>
              <w:ind w:right="386"/>
              <w:jc w:val="center"/>
              <w:rPr>
                <w:b/>
              </w:rPr>
            </w:pPr>
            <w:r w:rsidRPr="007B60FA">
              <w:rPr>
                <w:b/>
              </w:rPr>
              <w:t>202</w:t>
            </w:r>
            <w:r w:rsidR="00EB3CF5" w:rsidRPr="007B60FA">
              <w:rPr>
                <w:b/>
              </w:rPr>
              <w:t>6</w:t>
            </w:r>
            <w:r w:rsidRPr="007B60FA">
              <w:rPr>
                <w:b/>
              </w:rPr>
              <w:t>/2</w:t>
            </w:r>
            <w:r w:rsidR="00EB3CF5" w:rsidRPr="007B60FA">
              <w:rPr>
                <w:b/>
              </w:rPr>
              <w:t>7</w:t>
            </w:r>
          </w:p>
          <w:p w14:paraId="66DDA697" w14:textId="77777777" w:rsidR="0016558A" w:rsidRPr="007B60FA" w:rsidRDefault="0016558A" w:rsidP="0015635F">
            <w:pPr>
              <w:ind w:right="386"/>
              <w:jc w:val="center"/>
              <w:rPr>
                <w:b/>
              </w:rPr>
            </w:pPr>
            <w:r w:rsidRPr="007B60FA">
              <w:rPr>
                <w:b/>
              </w:rPr>
              <w:t>Est</w:t>
            </w:r>
          </w:p>
          <w:p w14:paraId="604CE6D0" w14:textId="77777777" w:rsidR="0016558A" w:rsidRPr="007B60FA" w:rsidRDefault="0016558A" w:rsidP="0015635F">
            <w:pPr>
              <w:ind w:right="386"/>
              <w:jc w:val="center"/>
              <w:rPr>
                <w:b/>
              </w:rPr>
            </w:pPr>
            <w:r w:rsidRPr="007B60FA">
              <w:rPr>
                <w:b/>
              </w:rPr>
              <w:t>£000’s</w:t>
            </w:r>
          </w:p>
        </w:tc>
      </w:tr>
      <w:tr w:rsidR="006770C0" w:rsidRPr="007B60FA" w14:paraId="69293B5A" w14:textId="77777777" w:rsidTr="009E1183">
        <w:tc>
          <w:tcPr>
            <w:tcW w:w="2732" w:type="dxa"/>
            <w:shd w:val="clear" w:color="auto" w:fill="auto"/>
          </w:tcPr>
          <w:p w14:paraId="03A9D2AF" w14:textId="77777777" w:rsidR="006770C0" w:rsidRPr="007B60FA" w:rsidRDefault="006770C0" w:rsidP="00945364">
            <w:pPr>
              <w:ind w:right="386"/>
              <w:jc w:val="both"/>
              <w:rPr>
                <w:b/>
              </w:rPr>
            </w:pPr>
            <w:r w:rsidRPr="007B60FA">
              <w:rPr>
                <w:b/>
              </w:rPr>
              <w:t>Consultation Budget</w:t>
            </w:r>
          </w:p>
        </w:tc>
        <w:tc>
          <w:tcPr>
            <w:tcW w:w="1470" w:type="dxa"/>
            <w:shd w:val="clear" w:color="auto" w:fill="auto"/>
          </w:tcPr>
          <w:p w14:paraId="25042898" w14:textId="77777777" w:rsidR="006770C0" w:rsidRPr="007B60FA" w:rsidRDefault="00493890" w:rsidP="002D147C">
            <w:pPr>
              <w:tabs>
                <w:tab w:val="left" w:pos="1404"/>
              </w:tabs>
              <w:jc w:val="right"/>
              <w:rPr>
                <w:b/>
              </w:rPr>
            </w:pPr>
            <w:r w:rsidRPr="007B60FA">
              <w:rPr>
                <w:b/>
              </w:rPr>
              <w:t>8,017</w:t>
            </w:r>
          </w:p>
        </w:tc>
        <w:tc>
          <w:tcPr>
            <w:tcW w:w="1470" w:type="dxa"/>
            <w:shd w:val="clear" w:color="auto" w:fill="auto"/>
          </w:tcPr>
          <w:p w14:paraId="2B9603DA" w14:textId="77777777" w:rsidR="006770C0" w:rsidRPr="007B60FA" w:rsidRDefault="00081C07" w:rsidP="002D147C">
            <w:pPr>
              <w:jc w:val="right"/>
              <w:rPr>
                <w:b/>
              </w:rPr>
            </w:pPr>
            <w:r w:rsidRPr="007B60FA">
              <w:rPr>
                <w:b/>
              </w:rPr>
              <w:t>6,058</w:t>
            </w:r>
          </w:p>
        </w:tc>
        <w:tc>
          <w:tcPr>
            <w:tcW w:w="1470" w:type="dxa"/>
            <w:shd w:val="clear" w:color="auto" w:fill="auto"/>
          </w:tcPr>
          <w:p w14:paraId="351E9854" w14:textId="77777777" w:rsidR="006770C0" w:rsidRPr="007B60FA" w:rsidRDefault="00081C07" w:rsidP="002D147C">
            <w:pPr>
              <w:ind w:right="-6"/>
              <w:jc w:val="right"/>
              <w:rPr>
                <w:b/>
              </w:rPr>
            </w:pPr>
            <w:r w:rsidRPr="007B60FA">
              <w:rPr>
                <w:b/>
              </w:rPr>
              <w:t>6,099</w:t>
            </w:r>
          </w:p>
        </w:tc>
        <w:tc>
          <w:tcPr>
            <w:tcW w:w="1470" w:type="dxa"/>
            <w:shd w:val="clear" w:color="auto" w:fill="auto"/>
          </w:tcPr>
          <w:p w14:paraId="71C68D57" w14:textId="77777777" w:rsidR="006770C0" w:rsidRPr="007B60FA" w:rsidRDefault="00081C07" w:rsidP="002D147C">
            <w:pPr>
              <w:tabs>
                <w:tab w:val="left" w:pos="1254"/>
              </w:tabs>
              <w:jc w:val="right"/>
              <w:rPr>
                <w:b/>
              </w:rPr>
            </w:pPr>
            <w:r w:rsidRPr="007B60FA">
              <w:rPr>
                <w:b/>
              </w:rPr>
              <w:t>6,142</w:t>
            </w:r>
          </w:p>
        </w:tc>
      </w:tr>
      <w:tr w:rsidR="009E1183" w:rsidRPr="007B60FA" w14:paraId="6E50309E" w14:textId="77777777" w:rsidTr="009E1183">
        <w:tc>
          <w:tcPr>
            <w:tcW w:w="2732" w:type="dxa"/>
            <w:shd w:val="clear" w:color="auto" w:fill="auto"/>
          </w:tcPr>
          <w:p w14:paraId="6DD6CDC6" w14:textId="77777777" w:rsidR="009E1183" w:rsidRPr="007B60FA" w:rsidRDefault="009E1183" w:rsidP="009E1183">
            <w:pPr>
              <w:ind w:right="386"/>
            </w:pPr>
            <w:r w:rsidRPr="007B60FA">
              <w:t xml:space="preserve">Finance Settlement </w:t>
            </w:r>
          </w:p>
        </w:tc>
        <w:tc>
          <w:tcPr>
            <w:tcW w:w="1470" w:type="dxa"/>
            <w:shd w:val="clear" w:color="auto" w:fill="auto"/>
          </w:tcPr>
          <w:p w14:paraId="64A11C37" w14:textId="77777777" w:rsidR="009E1183" w:rsidRPr="007B60FA" w:rsidRDefault="00081C07" w:rsidP="009E1183">
            <w:pPr>
              <w:tabs>
                <w:tab w:val="left" w:pos="1404"/>
              </w:tabs>
              <w:jc w:val="right"/>
            </w:pPr>
            <w:r w:rsidRPr="007B60FA">
              <w:t>8,517</w:t>
            </w:r>
          </w:p>
        </w:tc>
        <w:tc>
          <w:tcPr>
            <w:tcW w:w="1470" w:type="dxa"/>
            <w:shd w:val="clear" w:color="auto" w:fill="auto"/>
          </w:tcPr>
          <w:p w14:paraId="13C44A6B" w14:textId="77777777" w:rsidR="009E1183" w:rsidRPr="007B60FA" w:rsidRDefault="00081C07" w:rsidP="009E1183">
            <w:pPr>
              <w:jc w:val="right"/>
            </w:pPr>
            <w:r w:rsidRPr="007B60FA">
              <w:t>8,058</w:t>
            </w:r>
          </w:p>
        </w:tc>
        <w:tc>
          <w:tcPr>
            <w:tcW w:w="1470" w:type="dxa"/>
            <w:shd w:val="clear" w:color="auto" w:fill="auto"/>
          </w:tcPr>
          <w:p w14:paraId="6C679594" w14:textId="77777777" w:rsidR="009E1183" w:rsidRPr="007B60FA" w:rsidRDefault="00081C07" w:rsidP="009E1183">
            <w:pPr>
              <w:ind w:right="-6"/>
              <w:jc w:val="right"/>
            </w:pPr>
            <w:r w:rsidRPr="007B60FA">
              <w:t>6,099</w:t>
            </w:r>
          </w:p>
        </w:tc>
        <w:tc>
          <w:tcPr>
            <w:tcW w:w="1470" w:type="dxa"/>
            <w:shd w:val="clear" w:color="auto" w:fill="auto"/>
          </w:tcPr>
          <w:p w14:paraId="5CE23D22" w14:textId="77777777" w:rsidR="009E1183" w:rsidRPr="007B60FA" w:rsidRDefault="00081C07" w:rsidP="009E1183">
            <w:pPr>
              <w:tabs>
                <w:tab w:val="left" w:pos="1254"/>
              </w:tabs>
              <w:jc w:val="right"/>
            </w:pPr>
            <w:r w:rsidRPr="007B60FA">
              <w:t>6,142</w:t>
            </w:r>
          </w:p>
        </w:tc>
      </w:tr>
      <w:tr w:rsidR="009E1183" w:rsidRPr="007B60FA" w14:paraId="35640C14" w14:textId="77777777" w:rsidTr="009E1183">
        <w:trPr>
          <w:trHeight w:val="369"/>
        </w:trPr>
        <w:tc>
          <w:tcPr>
            <w:tcW w:w="2732" w:type="dxa"/>
            <w:shd w:val="clear" w:color="auto" w:fill="auto"/>
          </w:tcPr>
          <w:p w14:paraId="1566137D" w14:textId="77777777" w:rsidR="009E1183" w:rsidRPr="007B60FA" w:rsidRDefault="009E1183" w:rsidP="009E1183">
            <w:pPr>
              <w:ind w:right="386"/>
              <w:jc w:val="both"/>
              <w:rPr>
                <w:b/>
              </w:rPr>
            </w:pPr>
            <w:r w:rsidRPr="007B60FA">
              <w:rPr>
                <w:b/>
              </w:rPr>
              <w:lastRenderedPageBreak/>
              <w:t xml:space="preserve">(Decrease)/ Increase </w:t>
            </w:r>
          </w:p>
        </w:tc>
        <w:tc>
          <w:tcPr>
            <w:tcW w:w="1470" w:type="dxa"/>
            <w:shd w:val="clear" w:color="auto" w:fill="auto"/>
          </w:tcPr>
          <w:p w14:paraId="08066014" w14:textId="77777777" w:rsidR="009E1183" w:rsidRPr="007B60FA" w:rsidRDefault="00081C07" w:rsidP="009E1183">
            <w:pPr>
              <w:ind w:right="34"/>
              <w:jc w:val="right"/>
              <w:rPr>
                <w:b/>
              </w:rPr>
            </w:pPr>
            <w:r w:rsidRPr="007B60FA">
              <w:rPr>
                <w:b/>
              </w:rPr>
              <w:t>500</w:t>
            </w:r>
          </w:p>
        </w:tc>
        <w:tc>
          <w:tcPr>
            <w:tcW w:w="1470" w:type="dxa"/>
            <w:shd w:val="clear" w:color="auto" w:fill="auto"/>
          </w:tcPr>
          <w:p w14:paraId="77A0A58C" w14:textId="77777777" w:rsidR="009E1183" w:rsidRPr="007B60FA" w:rsidRDefault="00081C07" w:rsidP="009E1183">
            <w:pPr>
              <w:jc w:val="right"/>
              <w:rPr>
                <w:b/>
              </w:rPr>
            </w:pPr>
            <w:r w:rsidRPr="007B60FA">
              <w:rPr>
                <w:b/>
              </w:rPr>
              <w:t>2,000</w:t>
            </w:r>
          </w:p>
        </w:tc>
        <w:tc>
          <w:tcPr>
            <w:tcW w:w="1470" w:type="dxa"/>
            <w:shd w:val="clear" w:color="auto" w:fill="auto"/>
          </w:tcPr>
          <w:p w14:paraId="68FBD43B" w14:textId="77777777" w:rsidR="009E1183" w:rsidRPr="007B60FA" w:rsidRDefault="00081C07" w:rsidP="009E1183">
            <w:pPr>
              <w:jc w:val="right"/>
              <w:rPr>
                <w:b/>
              </w:rPr>
            </w:pPr>
            <w:r w:rsidRPr="007B60FA">
              <w:rPr>
                <w:b/>
              </w:rPr>
              <w:t>0</w:t>
            </w:r>
          </w:p>
        </w:tc>
        <w:tc>
          <w:tcPr>
            <w:tcW w:w="1470" w:type="dxa"/>
            <w:shd w:val="clear" w:color="auto" w:fill="auto"/>
          </w:tcPr>
          <w:p w14:paraId="2009DCB0" w14:textId="77777777" w:rsidR="009E1183" w:rsidRPr="007B60FA" w:rsidRDefault="00081C07" w:rsidP="009E1183">
            <w:pPr>
              <w:jc w:val="right"/>
              <w:rPr>
                <w:b/>
              </w:rPr>
            </w:pPr>
            <w:r w:rsidRPr="007B60FA">
              <w:rPr>
                <w:b/>
              </w:rPr>
              <w:t>0</w:t>
            </w:r>
          </w:p>
        </w:tc>
      </w:tr>
      <w:tr w:rsidR="00470C84" w:rsidRPr="007B60FA" w14:paraId="0CE1F3B4" w14:textId="77777777" w:rsidTr="009E1183">
        <w:trPr>
          <w:trHeight w:val="369"/>
        </w:trPr>
        <w:tc>
          <w:tcPr>
            <w:tcW w:w="2732" w:type="dxa"/>
            <w:shd w:val="clear" w:color="auto" w:fill="auto"/>
          </w:tcPr>
          <w:p w14:paraId="5A302153" w14:textId="77777777" w:rsidR="00470C84" w:rsidRPr="007B60FA" w:rsidRDefault="00470C84" w:rsidP="00470C84">
            <w:pPr>
              <w:ind w:right="386"/>
            </w:pPr>
            <w:r w:rsidRPr="007B60FA">
              <w:t xml:space="preserve">Tariff </w:t>
            </w:r>
          </w:p>
        </w:tc>
        <w:tc>
          <w:tcPr>
            <w:tcW w:w="1470" w:type="dxa"/>
            <w:shd w:val="clear" w:color="auto" w:fill="auto"/>
          </w:tcPr>
          <w:p w14:paraId="037B40A0" w14:textId="77777777" w:rsidR="00470C84" w:rsidRPr="007B60FA" w:rsidRDefault="00470C84" w:rsidP="00470C84">
            <w:pPr>
              <w:tabs>
                <w:tab w:val="left" w:pos="1404"/>
              </w:tabs>
              <w:jc w:val="right"/>
            </w:pPr>
            <w:r w:rsidRPr="007B60FA">
              <w:t>30,800</w:t>
            </w:r>
          </w:p>
        </w:tc>
        <w:tc>
          <w:tcPr>
            <w:tcW w:w="1470" w:type="dxa"/>
            <w:shd w:val="clear" w:color="auto" w:fill="auto"/>
          </w:tcPr>
          <w:p w14:paraId="2A6AFAF1" w14:textId="77777777" w:rsidR="00470C84" w:rsidRPr="007B60FA" w:rsidRDefault="00470C84" w:rsidP="00470C84">
            <w:pPr>
              <w:jc w:val="right"/>
            </w:pPr>
            <w:r w:rsidRPr="007B60FA">
              <w:t>30,800</w:t>
            </w:r>
          </w:p>
        </w:tc>
        <w:tc>
          <w:tcPr>
            <w:tcW w:w="1470" w:type="dxa"/>
            <w:shd w:val="clear" w:color="auto" w:fill="auto"/>
          </w:tcPr>
          <w:p w14:paraId="6529A798" w14:textId="77777777" w:rsidR="00470C84" w:rsidRPr="007B60FA" w:rsidRDefault="00470C84" w:rsidP="00470C84">
            <w:pPr>
              <w:ind w:right="-6"/>
              <w:jc w:val="right"/>
            </w:pPr>
            <w:r w:rsidRPr="007B60FA">
              <w:t>30,800</w:t>
            </w:r>
          </w:p>
        </w:tc>
        <w:tc>
          <w:tcPr>
            <w:tcW w:w="1470" w:type="dxa"/>
            <w:shd w:val="clear" w:color="auto" w:fill="auto"/>
          </w:tcPr>
          <w:p w14:paraId="0A0F6D54" w14:textId="77777777" w:rsidR="00470C84" w:rsidRPr="007B60FA" w:rsidRDefault="00470C84" w:rsidP="00470C84">
            <w:pPr>
              <w:tabs>
                <w:tab w:val="left" w:pos="1350"/>
              </w:tabs>
              <w:jc w:val="right"/>
            </w:pPr>
            <w:r w:rsidRPr="007B60FA">
              <w:t>30,800</w:t>
            </w:r>
          </w:p>
        </w:tc>
      </w:tr>
      <w:tr w:rsidR="009E1183" w:rsidRPr="007B60FA" w14:paraId="035FB551" w14:textId="77777777" w:rsidTr="009E1183">
        <w:trPr>
          <w:trHeight w:val="225"/>
        </w:trPr>
        <w:tc>
          <w:tcPr>
            <w:tcW w:w="2732" w:type="dxa"/>
            <w:shd w:val="clear" w:color="auto" w:fill="auto"/>
          </w:tcPr>
          <w:p w14:paraId="534EFF1B" w14:textId="77777777" w:rsidR="009E1183" w:rsidRPr="007B60FA" w:rsidRDefault="009E1183" w:rsidP="009E1183">
            <w:pPr>
              <w:ind w:right="386"/>
            </w:pPr>
            <w:r w:rsidRPr="007B60FA">
              <w:t>Safety net threshold (92.5% baseline)</w:t>
            </w:r>
          </w:p>
        </w:tc>
        <w:tc>
          <w:tcPr>
            <w:tcW w:w="1470" w:type="dxa"/>
            <w:shd w:val="clear" w:color="auto" w:fill="auto"/>
          </w:tcPr>
          <w:p w14:paraId="189D89ED" w14:textId="77777777" w:rsidR="009E1183" w:rsidRPr="007B60FA" w:rsidRDefault="00081C07" w:rsidP="009E1183">
            <w:pPr>
              <w:tabs>
                <w:tab w:val="left" w:pos="1404"/>
              </w:tabs>
              <w:jc w:val="right"/>
            </w:pPr>
            <w:r w:rsidRPr="007B60FA">
              <w:t>6,006</w:t>
            </w:r>
          </w:p>
        </w:tc>
        <w:tc>
          <w:tcPr>
            <w:tcW w:w="1470" w:type="dxa"/>
            <w:shd w:val="clear" w:color="auto" w:fill="auto"/>
          </w:tcPr>
          <w:p w14:paraId="6EC0F7C7" w14:textId="77777777" w:rsidR="009E1183" w:rsidRPr="007B60FA" w:rsidRDefault="00081C07" w:rsidP="009E1183">
            <w:pPr>
              <w:jc w:val="right"/>
            </w:pPr>
            <w:r w:rsidRPr="007B60FA">
              <w:t>5,819</w:t>
            </w:r>
          </w:p>
        </w:tc>
        <w:tc>
          <w:tcPr>
            <w:tcW w:w="1470" w:type="dxa"/>
            <w:shd w:val="clear" w:color="auto" w:fill="auto"/>
          </w:tcPr>
          <w:p w14:paraId="7BEE6D59" w14:textId="77777777" w:rsidR="009E1183" w:rsidRPr="007B60FA" w:rsidRDefault="00081C07" w:rsidP="009E1183">
            <w:pPr>
              <w:ind w:right="-6"/>
              <w:jc w:val="right"/>
            </w:pPr>
            <w:r w:rsidRPr="007B60FA">
              <w:t>5,848</w:t>
            </w:r>
          </w:p>
        </w:tc>
        <w:tc>
          <w:tcPr>
            <w:tcW w:w="1470" w:type="dxa"/>
            <w:shd w:val="clear" w:color="auto" w:fill="auto"/>
          </w:tcPr>
          <w:p w14:paraId="04E5EA71" w14:textId="77777777" w:rsidR="009E1183" w:rsidRPr="007B60FA" w:rsidRDefault="00081C07" w:rsidP="009E1183">
            <w:pPr>
              <w:tabs>
                <w:tab w:val="left" w:pos="1350"/>
              </w:tabs>
              <w:jc w:val="right"/>
            </w:pPr>
            <w:r w:rsidRPr="007B60FA">
              <w:t>5,877</w:t>
            </w:r>
          </w:p>
        </w:tc>
      </w:tr>
    </w:tbl>
    <w:p w14:paraId="09BB83C0" w14:textId="630C8C83" w:rsidR="00F81F3F" w:rsidRDefault="00F81F3F" w:rsidP="006174CA">
      <w:pPr>
        <w:rPr>
          <w:rFonts w:eastAsia="Calibri"/>
        </w:rPr>
      </w:pPr>
    </w:p>
    <w:p w14:paraId="737758DA" w14:textId="77777777" w:rsidR="00F81F3F" w:rsidRDefault="00F81F3F">
      <w:pPr>
        <w:spacing w:after="0"/>
        <w:rPr>
          <w:rFonts w:eastAsia="Calibri"/>
        </w:rPr>
      </w:pPr>
      <w:r>
        <w:rPr>
          <w:rFonts w:eastAsia="Calibri"/>
        </w:rPr>
        <w:br w:type="page"/>
      </w:r>
    </w:p>
    <w:p w14:paraId="0718F21A" w14:textId="77777777" w:rsidR="0070180F" w:rsidRPr="007B60FA" w:rsidRDefault="0070180F" w:rsidP="006174CA">
      <w:pPr>
        <w:rPr>
          <w:rFonts w:eastAsia="Calibri"/>
        </w:rPr>
      </w:pPr>
    </w:p>
    <w:p w14:paraId="79BA0D60" w14:textId="77777777" w:rsidR="005B5052" w:rsidRPr="004D6559" w:rsidRDefault="005B5052" w:rsidP="00AA05F7">
      <w:pPr>
        <w:pStyle w:val="Heading1"/>
        <w:rPr>
          <w:rFonts w:eastAsia="Calibri"/>
        </w:rPr>
      </w:pPr>
      <w:r w:rsidRPr="007B60FA">
        <w:rPr>
          <w:rFonts w:eastAsia="Calibri"/>
        </w:rPr>
        <w:t>Business Rates Distribution Group</w:t>
      </w:r>
    </w:p>
    <w:p w14:paraId="71A017A7" w14:textId="77777777" w:rsidR="0089496B" w:rsidRPr="004D6559" w:rsidRDefault="00722444" w:rsidP="008B4AB5">
      <w:pPr>
        <w:pStyle w:val="bParagraphtext"/>
        <w:numPr>
          <w:ilvl w:val="0"/>
          <w:numId w:val="36"/>
        </w:numPr>
        <w:ind w:left="426" w:hanging="426"/>
        <w:rPr>
          <w:rFonts w:eastAsia="Calibri"/>
        </w:rPr>
      </w:pPr>
      <w:r w:rsidRPr="004D6559">
        <w:rPr>
          <w:rFonts w:eastAsia="Calibri"/>
        </w:rPr>
        <w:t>T</w:t>
      </w:r>
      <w:r w:rsidR="0089496B" w:rsidRPr="004D6559">
        <w:rPr>
          <w:rFonts w:eastAsia="Calibri"/>
        </w:rPr>
        <w:t>he Chief Finance Officers have agreed the formation of the West Oxfordshire Business Rates Pool for 20</w:t>
      </w:r>
      <w:r w:rsidRPr="004D6559">
        <w:rPr>
          <w:rFonts w:eastAsia="Calibri"/>
        </w:rPr>
        <w:t>2</w:t>
      </w:r>
      <w:r w:rsidR="004D6559" w:rsidRPr="004D6559">
        <w:rPr>
          <w:rFonts w:eastAsia="Calibri"/>
        </w:rPr>
        <w:t>3</w:t>
      </w:r>
      <w:r w:rsidR="0089496B" w:rsidRPr="004D6559">
        <w:rPr>
          <w:rFonts w:eastAsia="Calibri"/>
        </w:rPr>
        <w:t>-</w:t>
      </w:r>
      <w:r w:rsidR="00C80246" w:rsidRPr="004D6559">
        <w:rPr>
          <w:rFonts w:eastAsia="Calibri"/>
        </w:rPr>
        <w:t>2</w:t>
      </w:r>
      <w:r w:rsidR="004D6559" w:rsidRPr="004D6559">
        <w:rPr>
          <w:rFonts w:eastAsia="Calibri"/>
        </w:rPr>
        <w:t>4</w:t>
      </w:r>
      <w:r w:rsidR="0089496B" w:rsidRPr="004D6559">
        <w:rPr>
          <w:rFonts w:eastAsia="Calibri"/>
        </w:rPr>
        <w:t xml:space="preserve"> to be formed by Oxfordshire County Council</w:t>
      </w:r>
      <w:r w:rsidR="00CA5870" w:rsidRPr="004D6559">
        <w:rPr>
          <w:rFonts w:eastAsia="Calibri"/>
        </w:rPr>
        <w:t xml:space="preserve"> and</w:t>
      </w:r>
      <w:r w:rsidR="0089496B" w:rsidRPr="004D6559">
        <w:rPr>
          <w:rFonts w:eastAsia="Calibri"/>
        </w:rPr>
        <w:t xml:space="preserve"> West Oxfordshire and Cherwell District Council</w:t>
      </w:r>
      <w:r w:rsidR="00CA5870" w:rsidRPr="004D6559">
        <w:rPr>
          <w:rFonts w:eastAsia="Calibri"/>
        </w:rPr>
        <w:t>s</w:t>
      </w:r>
      <w:r w:rsidR="0089496B" w:rsidRPr="004D6559">
        <w:rPr>
          <w:rFonts w:eastAsia="Calibri"/>
        </w:rPr>
        <w:t xml:space="preserve"> as in previous years. </w:t>
      </w:r>
    </w:p>
    <w:p w14:paraId="25B86492" w14:textId="77777777" w:rsidR="00706D1F" w:rsidRPr="004D6559" w:rsidRDefault="0089496B" w:rsidP="008B4AB5">
      <w:pPr>
        <w:pStyle w:val="bParagraphtext"/>
        <w:numPr>
          <w:ilvl w:val="0"/>
          <w:numId w:val="36"/>
        </w:numPr>
        <w:ind w:left="426" w:hanging="426"/>
        <w:rPr>
          <w:rFonts w:eastAsia="Calibri"/>
        </w:rPr>
      </w:pPr>
      <w:r w:rsidRPr="004D6559">
        <w:rPr>
          <w:rFonts w:eastAsia="Calibri"/>
        </w:rPr>
        <w:t>T</w:t>
      </w:r>
      <w:r w:rsidR="005B5052" w:rsidRPr="004D6559">
        <w:rPr>
          <w:rFonts w:eastAsia="Calibri"/>
        </w:rPr>
        <w:t xml:space="preserve">he Pool’s membership </w:t>
      </w:r>
      <w:r w:rsidRPr="004D6559">
        <w:rPr>
          <w:rFonts w:eastAsia="Calibri"/>
        </w:rPr>
        <w:t xml:space="preserve">has been set </w:t>
      </w:r>
      <w:r w:rsidR="005B5052" w:rsidRPr="004D6559">
        <w:rPr>
          <w:rFonts w:eastAsia="Calibri"/>
        </w:rPr>
        <w:t xml:space="preserve">to maximise its income for the good of Oxfordshire. </w:t>
      </w:r>
      <w:r w:rsidRPr="004D6559">
        <w:rPr>
          <w:rFonts w:eastAsia="Calibri"/>
        </w:rPr>
        <w:t xml:space="preserve">It has </w:t>
      </w:r>
      <w:r w:rsidR="005B5052" w:rsidRPr="004D6559">
        <w:rPr>
          <w:rFonts w:eastAsia="Calibri"/>
        </w:rPr>
        <w:t xml:space="preserve">also agreed that councils who would benefit from being in a pool (because the levy on business rates growth </w:t>
      </w:r>
      <w:r w:rsidR="003A5C8F" w:rsidRPr="004D6559">
        <w:rPr>
          <w:rFonts w:eastAsia="Calibri"/>
        </w:rPr>
        <w:t xml:space="preserve">would be less </w:t>
      </w:r>
      <w:r w:rsidR="005B5052" w:rsidRPr="004D6559">
        <w:rPr>
          <w:rFonts w:eastAsia="Calibri"/>
        </w:rPr>
        <w:t xml:space="preserve">than if </w:t>
      </w:r>
      <w:r w:rsidR="004637AC" w:rsidRPr="004D6559">
        <w:rPr>
          <w:rFonts w:eastAsia="Calibri"/>
        </w:rPr>
        <w:t>they were</w:t>
      </w:r>
      <w:r w:rsidR="005B5052" w:rsidRPr="004D6559">
        <w:rPr>
          <w:rFonts w:eastAsia="Calibri"/>
        </w:rPr>
        <w:t xml:space="preserve"> outside the Pool) should not be excluded from sharing in the additional income generated by the Pool just because in any year their membership would not generate the optimum retained income for the Pool. </w:t>
      </w:r>
      <w:r w:rsidRPr="004D6559">
        <w:rPr>
          <w:rFonts w:eastAsia="Calibri"/>
        </w:rPr>
        <w:t xml:space="preserve">These authorities should form a Business Rates Distribution Group and benefit from a share of some of the growth on the Business Pool in exchange for </w:t>
      </w:r>
      <w:r w:rsidR="005B5052" w:rsidRPr="004D6559">
        <w:rPr>
          <w:rFonts w:eastAsia="Calibri"/>
        </w:rPr>
        <w:t>ta</w:t>
      </w:r>
      <w:r w:rsidRPr="004D6559">
        <w:rPr>
          <w:rFonts w:eastAsia="Calibri"/>
        </w:rPr>
        <w:t>king</w:t>
      </w:r>
      <w:r w:rsidR="005B5052" w:rsidRPr="004D6559">
        <w:rPr>
          <w:rFonts w:eastAsia="Calibri"/>
        </w:rPr>
        <w:t xml:space="preserve"> on some of the risk of Pool losses not covered by </w:t>
      </w:r>
      <w:r w:rsidR="006B2609" w:rsidRPr="004D6559">
        <w:rPr>
          <w:rFonts w:eastAsia="Calibri"/>
        </w:rPr>
        <w:t xml:space="preserve">the </w:t>
      </w:r>
      <w:r w:rsidR="005B5052" w:rsidRPr="004D6559">
        <w:rPr>
          <w:rFonts w:eastAsia="Calibri"/>
        </w:rPr>
        <w:t>safety net.</w:t>
      </w:r>
    </w:p>
    <w:p w14:paraId="2DF6F51B" w14:textId="77777777" w:rsidR="00706D1F" w:rsidRPr="004D6559" w:rsidRDefault="009225D3" w:rsidP="008B4AB5">
      <w:pPr>
        <w:pStyle w:val="bParagraphtext"/>
        <w:numPr>
          <w:ilvl w:val="0"/>
          <w:numId w:val="36"/>
        </w:numPr>
        <w:ind w:left="426" w:hanging="426"/>
        <w:rPr>
          <w:rFonts w:eastAsia="Calibri"/>
        </w:rPr>
      </w:pPr>
      <w:r w:rsidRPr="004D6559">
        <w:rPr>
          <w:rFonts w:eastAsia="Calibri"/>
        </w:rPr>
        <w:t>It is recommended that t</w:t>
      </w:r>
      <w:r w:rsidR="005B5052" w:rsidRPr="004D6559">
        <w:rPr>
          <w:rFonts w:eastAsia="Calibri"/>
        </w:rPr>
        <w:t xml:space="preserve">he decision to join the Business Rates Distribution Group is delegated to the Section 151 Officer in consultation with the </w:t>
      </w:r>
      <w:r w:rsidR="00455725" w:rsidRPr="004D6559">
        <w:rPr>
          <w:rFonts w:eastAsia="Calibri"/>
        </w:rPr>
        <w:t>Cabinet Member</w:t>
      </w:r>
      <w:r w:rsidR="005B5052" w:rsidRPr="004D6559">
        <w:rPr>
          <w:rFonts w:eastAsia="Calibri"/>
        </w:rPr>
        <w:t xml:space="preserve"> for Finance</w:t>
      </w:r>
      <w:r w:rsidR="003372A5" w:rsidRPr="004D6559">
        <w:rPr>
          <w:rFonts w:eastAsia="Calibri"/>
        </w:rPr>
        <w:t xml:space="preserve"> and </w:t>
      </w:r>
      <w:r w:rsidR="005B5052" w:rsidRPr="004D6559">
        <w:rPr>
          <w:rFonts w:eastAsia="Calibri"/>
        </w:rPr>
        <w:t>Asset</w:t>
      </w:r>
      <w:r w:rsidR="00096293" w:rsidRPr="004D6559">
        <w:t xml:space="preserve"> Management </w:t>
      </w:r>
      <w:r w:rsidR="005B5052" w:rsidRPr="004D6559">
        <w:rPr>
          <w:rFonts w:eastAsia="Calibri"/>
        </w:rPr>
        <w:t>once business rates estimates for 20</w:t>
      </w:r>
      <w:r w:rsidR="00722444" w:rsidRPr="004D6559">
        <w:rPr>
          <w:rFonts w:eastAsia="Calibri"/>
        </w:rPr>
        <w:t>2</w:t>
      </w:r>
      <w:r w:rsidR="004D6559" w:rsidRPr="004D6559">
        <w:rPr>
          <w:rFonts w:eastAsia="Calibri"/>
        </w:rPr>
        <w:t>3</w:t>
      </w:r>
      <w:r w:rsidR="005B5052" w:rsidRPr="004D6559">
        <w:rPr>
          <w:rFonts w:eastAsia="Calibri"/>
        </w:rPr>
        <w:t>-</w:t>
      </w:r>
      <w:r w:rsidR="00C80246" w:rsidRPr="004D6559">
        <w:rPr>
          <w:rFonts w:eastAsia="Calibri"/>
        </w:rPr>
        <w:t>2</w:t>
      </w:r>
      <w:r w:rsidR="004D6559" w:rsidRPr="004D6559">
        <w:rPr>
          <w:rFonts w:eastAsia="Calibri"/>
        </w:rPr>
        <w:t>4</w:t>
      </w:r>
      <w:r w:rsidR="005B5052" w:rsidRPr="004D6559">
        <w:rPr>
          <w:rFonts w:eastAsia="Calibri"/>
        </w:rPr>
        <w:t xml:space="preserve"> are known for all Districts within Oxfordshire</w:t>
      </w:r>
      <w:r w:rsidR="006B2609" w:rsidRPr="004D6559">
        <w:rPr>
          <w:rFonts w:eastAsia="Calibri"/>
        </w:rPr>
        <w:t>.</w:t>
      </w:r>
    </w:p>
    <w:p w14:paraId="7625CBE5" w14:textId="77777777" w:rsidR="005D24CF" w:rsidRPr="007B60FA" w:rsidRDefault="00782575" w:rsidP="00AA05F7">
      <w:pPr>
        <w:pStyle w:val="Heading1"/>
        <w:rPr>
          <w:rFonts w:eastAsia="Calibri"/>
        </w:rPr>
      </w:pPr>
      <w:r w:rsidRPr="007B60FA">
        <w:rPr>
          <w:rFonts w:eastAsia="Calibri"/>
        </w:rPr>
        <w:t xml:space="preserve">Council Tax </w:t>
      </w:r>
    </w:p>
    <w:p w14:paraId="230C0E26" w14:textId="77777777" w:rsidR="005D24CF" w:rsidRPr="00D235F4" w:rsidRDefault="00782575" w:rsidP="008B4AB5">
      <w:pPr>
        <w:pStyle w:val="bParagraphtext"/>
        <w:numPr>
          <w:ilvl w:val="0"/>
          <w:numId w:val="36"/>
        </w:numPr>
        <w:ind w:left="426" w:hanging="426"/>
      </w:pPr>
      <w:r w:rsidRPr="007B60FA">
        <w:rPr>
          <w:rFonts w:eastAsia="Calibri"/>
        </w:rPr>
        <w:t>The estimate of the t</w:t>
      </w:r>
      <w:r w:rsidR="00C05AA0" w:rsidRPr="007B60FA">
        <w:rPr>
          <w:rFonts w:eastAsia="Calibri"/>
        </w:rPr>
        <w:t>ax base for 202</w:t>
      </w:r>
      <w:r w:rsidR="004D6559" w:rsidRPr="007B60FA">
        <w:rPr>
          <w:rFonts w:eastAsia="Calibri"/>
        </w:rPr>
        <w:t>3</w:t>
      </w:r>
      <w:r w:rsidR="00C05AA0" w:rsidRPr="007B60FA">
        <w:rPr>
          <w:rFonts w:eastAsia="Calibri"/>
        </w:rPr>
        <w:t>-2</w:t>
      </w:r>
      <w:r w:rsidR="004D6559" w:rsidRPr="007B60FA">
        <w:rPr>
          <w:rFonts w:eastAsia="Calibri"/>
        </w:rPr>
        <w:t>4</w:t>
      </w:r>
      <w:r w:rsidR="00C05AA0" w:rsidRPr="007B60FA">
        <w:rPr>
          <w:rFonts w:eastAsia="Calibri"/>
        </w:rPr>
        <w:t xml:space="preserve"> presented to</w:t>
      </w:r>
      <w:r w:rsidRPr="007B60FA">
        <w:rPr>
          <w:rFonts w:eastAsia="Calibri"/>
        </w:rPr>
        <w:t xml:space="preserve"> Audit and Governance on </w:t>
      </w:r>
      <w:r w:rsidR="004D6559" w:rsidRPr="007B60FA">
        <w:rPr>
          <w:rFonts w:eastAsia="Calibri"/>
        </w:rPr>
        <w:t>18</w:t>
      </w:r>
      <w:r w:rsidR="00455725" w:rsidRPr="007B60FA">
        <w:rPr>
          <w:rFonts w:eastAsia="Calibri"/>
          <w:vertAlign w:val="superscript"/>
        </w:rPr>
        <w:t xml:space="preserve"> </w:t>
      </w:r>
      <w:r w:rsidRPr="007B60FA">
        <w:rPr>
          <w:rFonts w:eastAsia="Calibri"/>
        </w:rPr>
        <w:t>January 202</w:t>
      </w:r>
      <w:r w:rsidR="004D6559" w:rsidRPr="007B60FA">
        <w:rPr>
          <w:rFonts w:eastAsia="Calibri"/>
        </w:rPr>
        <w:t>3</w:t>
      </w:r>
      <w:r w:rsidRPr="007B60FA">
        <w:rPr>
          <w:rFonts w:eastAsia="Calibri"/>
        </w:rPr>
        <w:t xml:space="preserve"> </w:t>
      </w:r>
      <w:r w:rsidR="007B60FA" w:rsidRPr="007B60FA">
        <w:rPr>
          <w:rFonts w:eastAsia="Calibri"/>
        </w:rPr>
        <w:t xml:space="preserve">estimates a tax base of 45,838.1 Band D equivalent properties which was used in the Consultation Budget producing a Council tax income precept of £15.687 million for 2023-24. </w:t>
      </w:r>
    </w:p>
    <w:p w14:paraId="20878852" w14:textId="77777777" w:rsidR="00D95D56" w:rsidRPr="00D95D56" w:rsidRDefault="00D95D56" w:rsidP="00F81F3F">
      <w:pPr>
        <w:spacing w:after="240"/>
        <w:rPr>
          <w:b/>
          <w:color w:val="auto"/>
          <w:szCs w:val="20"/>
          <w:lang w:eastAsia="en-US"/>
        </w:rPr>
      </w:pPr>
      <w:r w:rsidRPr="00D95D56">
        <w:rPr>
          <w:b/>
          <w:color w:val="auto"/>
          <w:szCs w:val="20"/>
          <w:lang w:eastAsia="en-US"/>
        </w:rPr>
        <w:t>Levelling Up and Regeneration Bill</w:t>
      </w:r>
    </w:p>
    <w:p w14:paraId="0A857454" w14:textId="2A60443D" w:rsidR="00D95D56" w:rsidRPr="00D95D56" w:rsidRDefault="00D95D56" w:rsidP="008B4AB5">
      <w:pPr>
        <w:numPr>
          <w:ilvl w:val="0"/>
          <w:numId w:val="36"/>
        </w:numPr>
        <w:spacing w:after="0"/>
        <w:ind w:left="426" w:right="386" w:hanging="426"/>
        <w:rPr>
          <w:rFonts w:cs="Arial"/>
          <w:color w:val="222222"/>
          <w:lang w:eastAsia="en-US"/>
        </w:rPr>
      </w:pPr>
      <w:r w:rsidRPr="00D95D56">
        <w:rPr>
          <w:rFonts w:cs="Arial"/>
          <w:color w:val="222222"/>
          <w:lang w:eastAsia="en-US"/>
        </w:rPr>
        <w:lastRenderedPageBreak/>
        <w:t xml:space="preserve">The Levelling Up and Regeneration Bill, </w:t>
      </w:r>
      <w:r w:rsidR="0014004E">
        <w:rPr>
          <w:rFonts w:cs="Arial"/>
          <w:color w:val="222222"/>
          <w:lang w:eastAsia="en-US"/>
        </w:rPr>
        <w:t xml:space="preserve">which was </w:t>
      </w:r>
      <w:r w:rsidRPr="00D95D56">
        <w:rPr>
          <w:rFonts w:cs="Arial"/>
          <w:color w:val="222222"/>
          <w:lang w:eastAsia="en-US"/>
        </w:rPr>
        <w:t xml:space="preserve">given its </w:t>
      </w:r>
      <w:r w:rsidR="0014004E">
        <w:rPr>
          <w:rFonts w:cs="Arial"/>
          <w:color w:val="222222"/>
          <w:lang w:eastAsia="en-US"/>
        </w:rPr>
        <w:t>second</w:t>
      </w:r>
      <w:r w:rsidRPr="00D95D56">
        <w:rPr>
          <w:rFonts w:cs="Arial"/>
          <w:color w:val="222222"/>
          <w:lang w:eastAsia="en-US"/>
        </w:rPr>
        <w:t xml:space="preserve"> reading on 1</w:t>
      </w:r>
      <w:r w:rsidR="0014004E">
        <w:rPr>
          <w:rFonts w:cs="Arial"/>
          <w:color w:val="222222"/>
          <w:lang w:eastAsia="en-US"/>
        </w:rPr>
        <w:t>7</w:t>
      </w:r>
      <w:r w:rsidRPr="00D95D56">
        <w:rPr>
          <w:rFonts w:cs="Arial"/>
          <w:color w:val="222222"/>
          <w:vertAlign w:val="superscript"/>
          <w:lang w:eastAsia="en-US"/>
        </w:rPr>
        <w:t>th</w:t>
      </w:r>
      <w:r w:rsidRPr="00D95D56">
        <w:rPr>
          <w:rFonts w:cs="Arial"/>
          <w:color w:val="222222"/>
          <w:lang w:eastAsia="en-US"/>
        </w:rPr>
        <w:t xml:space="preserve"> May 2022 is a key component of the Government’s wider programme to level up the country, as set out in the Levelling Up White Paper published in February 2022. The bill in currently making its way through Parliament. Within the bill there is provision</w:t>
      </w:r>
      <w:r w:rsidR="00F81F3F">
        <w:rPr>
          <w:rFonts w:cs="Arial"/>
          <w:color w:val="222222"/>
          <w:lang w:eastAsia="en-US"/>
        </w:rPr>
        <w:t xml:space="preserve"> to allow local authorities to</w:t>
      </w:r>
      <w:r w:rsidRPr="00D95D56">
        <w:rPr>
          <w:rFonts w:cs="Arial"/>
          <w:color w:val="222222"/>
          <w:lang w:eastAsia="en-US"/>
        </w:rPr>
        <w:t>:</w:t>
      </w:r>
    </w:p>
    <w:p w14:paraId="3CCC7962" w14:textId="77777777" w:rsidR="00D95D56" w:rsidRPr="00D95D56" w:rsidRDefault="00D95D56" w:rsidP="001E2F3F">
      <w:pPr>
        <w:numPr>
          <w:ilvl w:val="0"/>
          <w:numId w:val="17"/>
        </w:numPr>
        <w:spacing w:after="0"/>
        <w:ind w:right="386"/>
        <w:rPr>
          <w:rFonts w:cs="Arial"/>
          <w:color w:val="222222"/>
          <w:lang w:eastAsia="en-US"/>
        </w:rPr>
      </w:pPr>
      <w:r w:rsidRPr="00D95D56">
        <w:rPr>
          <w:rFonts w:cs="Arial"/>
          <w:color w:val="222222"/>
          <w:lang w:eastAsia="en-US"/>
        </w:rPr>
        <w:t>Introduce a new discretionary council tax premium on second homes of up to 100%</w:t>
      </w:r>
    </w:p>
    <w:p w14:paraId="0B59674B" w14:textId="77777777" w:rsidR="00D95D56" w:rsidRPr="00D95D56" w:rsidRDefault="00D95D56" w:rsidP="001E2F3F">
      <w:pPr>
        <w:numPr>
          <w:ilvl w:val="0"/>
          <w:numId w:val="17"/>
        </w:numPr>
        <w:spacing w:after="0"/>
        <w:ind w:right="386"/>
        <w:rPr>
          <w:rFonts w:cs="Arial"/>
          <w:color w:val="222222"/>
          <w:lang w:eastAsia="en-US"/>
        </w:rPr>
      </w:pPr>
      <w:r w:rsidRPr="00D95D56">
        <w:rPr>
          <w:rFonts w:cs="Arial"/>
          <w:color w:val="222222"/>
          <w:lang w:eastAsia="en-US"/>
        </w:rPr>
        <w:t xml:space="preserve">Apply a council tax premium of up to 100% on homes which have been empty for longer than one year rather than the two years that local authorities are currently able to do. </w:t>
      </w:r>
    </w:p>
    <w:p w14:paraId="7FDC4EAE" w14:textId="458B8BCD" w:rsidR="00D95D56" w:rsidRPr="00D95D56" w:rsidRDefault="008B4AB5" w:rsidP="00D95D56">
      <w:pPr>
        <w:spacing w:after="0"/>
        <w:ind w:left="426" w:hanging="426"/>
        <w:rPr>
          <w:color w:val="auto"/>
          <w:lang w:eastAsia="en-US"/>
        </w:rPr>
      </w:pPr>
      <w:r>
        <w:rPr>
          <w:color w:val="auto"/>
          <w:lang w:eastAsia="en-US"/>
        </w:rPr>
        <w:t>25</w:t>
      </w:r>
      <w:r w:rsidR="00F81F3F">
        <w:rPr>
          <w:color w:val="auto"/>
          <w:lang w:eastAsia="en-US"/>
        </w:rPr>
        <w:t>.</w:t>
      </w:r>
      <w:r w:rsidR="00D95D56" w:rsidRPr="00D95D56">
        <w:rPr>
          <w:color w:val="auto"/>
          <w:lang w:eastAsia="en-US"/>
        </w:rPr>
        <w:tab/>
        <w:t>The Local Government Finance Act 1992 requires that such amendments can only be made one year after the billing authority has made a determination to implement and not before financial year beginning 1 April 2024 i.e. a determination by the Council made in this year’s budget process, assuming the Levelling Up and Regeneration Bill is enacted may only be implemented from 1 April 2024.</w:t>
      </w:r>
    </w:p>
    <w:p w14:paraId="41C37062" w14:textId="77777777" w:rsidR="00D95D56" w:rsidRPr="00D95D56" w:rsidRDefault="00D95D56" w:rsidP="00D95D56">
      <w:pPr>
        <w:spacing w:after="0"/>
        <w:ind w:left="720" w:hanging="578"/>
        <w:rPr>
          <w:color w:val="auto"/>
          <w:lang w:eastAsia="en-US"/>
        </w:rPr>
      </w:pPr>
    </w:p>
    <w:p w14:paraId="01BB2D28" w14:textId="46D09B59" w:rsidR="00D95D56" w:rsidRPr="00D95D56" w:rsidRDefault="008B4AB5" w:rsidP="00D95D56">
      <w:pPr>
        <w:spacing w:after="0"/>
        <w:ind w:left="426" w:hanging="426"/>
        <w:rPr>
          <w:color w:val="auto"/>
          <w:lang w:eastAsia="en-US"/>
        </w:rPr>
      </w:pPr>
      <w:r>
        <w:rPr>
          <w:color w:val="auto"/>
          <w:lang w:eastAsia="en-US"/>
        </w:rPr>
        <w:t>26</w:t>
      </w:r>
      <w:r w:rsidR="00F81F3F">
        <w:rPr>
          <w:color w:val="auto"/>
          <w:lang w:eastAsia="en-US"/>
        </w:rPr>
        <w:t>.</w:t>
      </w:r>
      <w:r w:rsidR="00D95D56" w:rsidRPr="00D95D56">
        <w:rPr>
          <w:color w:val="auto"/>
          <w:lang w:eastAsia="en-US"/>
        </w:rPr>
        <w:tab/>
        <w:t xml:space="preserve">Based on current numbers of second homes and dwellings that are empty for between one year and 2 years approving the amendments could raise around £200k additional council tax income per annum assuming a reasonable attrition rate.  </w:t>
      </w:r>
    </w:p>
    <w:p w14:paraId="04C00AF0" w14:textId="77777777" w:rsidR="00B16E72" w:rsidRPr="00493890" w:rsidRDefault="00B16E72" w:rsidP="00A02648">
      <w:pPr>
        <w:pStyle w:val="Heading1"/>
      </w:pPr>
      <w:r w:rsidRPr="00493890">
        <w:t>New Homes Bonus</w:t>
      </w:r>
    </w:p>
    <w:p w14:paraId="56703D87" w14:textId="77777777" w:rsidR="003B0605" w:rsidRDefault="00917771" w:rsidP="008B4AB5">
      <w:pPr>
        <w:pStyle w:val="bParagraphtext"/>
        <w:numPr>
          <w:ilvl w:val="0"/>
          <w:numId w:val="37"/>
        </w:numPr>
        <w:ind w:left="448" w:hanging="434"/>
        <w:rPr>
          <w:rFonts w:eastAsia="Calibri"/>
        </w:rPr>
      </w:pPr>
      <w:r w:rsidRPr="00493890">
        <w:rPr>
          <w:rFonts w:eastAsia="Calibri"/>
        </w:rPr>
        <w:t xml:space="preserve">The amounts for Oxford City compared to the assumptions in the </w:t>
      </w:r>
      <w:r w:rsidR="00493890" w:rsidRPr="00493890">
        <w:rPr>
          <w:rFonts w:eastAsia="Calibri"/>
        </w:rPr>
        <w:t xml:space="preserve">Consultation Budget </w:t>
      </w:r>
      <w:r w:rsidRPr="00493890">
        <w:rPr>
          <w:rFonts w:eastAsia="Calibri"/>
        </w:rPr>
        <w:t>are show</w:t>
      </w:r>
      <w:r w:rsidR="007A73F2" w:rsidRPr="00493890">
        <w:rPr>
          <w:rFonts w:eastAsia="Calibri"/>
        </w:rPr>
        <w:t>n</w:t>
      </w:r>
      <w:r w:rsidRPr="00493890">
        <w:rPr>
          <w:rFonts w:eastAsia="Calibri"/>
        </w:rPr>
        <w:t xml:space="preserve"> </w:t>
      </w:r>
      <w:r w:rsidR="001F5C07" w:rsidRPr="00493890">
        <w:rPr>
          <w:rFonts w:eastAsia="Calibri"/>
        </w:rPr>
        <w:t xml:space="preserve">in Table </w:t>
      </w:r>
      <w:r w:rsidR="00977030">
        <w:rPr>
          <w:rFonts w:eastAsia="Calibri"/>
        </w:rPr>
        <w:t>3</w:t>
      </w:r>
      <w:r w:rsidR="00772D62" w:rsidRPr="00493890">
        <w:rPr>
          <w:rFonts w:eastAsia="Calibri"/>
        </w:rPr>
        <w:t xml:space="preserve"> </w:t>
      </w:r>
      <w:r w:rsidRPr="00493890">
        <w:rPr>
          <w:rFonts w:eastAsia="Calibri"/>
        </w:rPr>
        <w:t xml:space="preserve">below: </w:t>
      </w:r>
    </w:p>
    <w:p w14:paraId="15274611" w14:textId="77777777" w:rsidR="00483BE3" w:rsidRDefault="00483BE3" w:rsidP="00483BE3">
      <w:pPr>
        <w:pStyle w:val="bParagraphtext"/>
        <w:numPr>
          <w:ilvl w:val="0"/>
          <w:numId w:val="0"/>
        </w:numPr>
        <w:ind w:left="426"/>
        <w:rPr>
          <w:rFonts w:eastAsia="Calibr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59"/>
        <w:gridCol w:w="1418"/>
        <w:gridCol w:w="1417"/>
      </w:tblGrid>
      <w:tr w:rsidR="00895AE4" w:rsidRPr="00493890" w14:paraId="214C8893" w14:textId="77777777" w:rsidTr="007C1BCD">
        <w:tc>
          <w:tcPr>
            <w:tcW w:w="9072" w:type="dxa"/>
            <w:gridSpan w:val="5"/>
            <w:vAlign w:val="center"/>
          </w:tcPr>
          <w:p w14:paraId="7AF19776" w14:textId="77777777" w:rsidR="00895AE4" w:rsidRPr="00493890" w:rsidRDefault="001F5C07" w:rsidP="00CF7721">
            <w:pPr>
              <w:tabs>
                <w:tab w:val="left" w:pos="1350"/>
              </w:tabs>
              <w:rPr>
                <w:b/>
              </w:rPr>
            </w:pPr>
            <w:r w:rsidRPr="00493890">
              <w:rPr>
                <w:b/>
              </w:rPr>
              <w:t xml:space="preserve">Table </w:t>
            </w:r>
            <w:r w:rsidR="0060790C">
              <w:rPr>
                <w:b/>
              </w:rPr>
              <w:t>3</w:t>
            </w:r>
            <w:r w:rsidR="00895AE4" w:rsidRPr="00493890">
              <w:rPr>
                <w:b/>
              </w:rPr>
              <w:t xml:space="preserve">: New Homes Bonus </w:t>
            </w:r>
            <w:r w:rsidR="00772D62" w:rsidRPr="00493890">
              <w:rPr>
                <w:b/>
              </w:rPr>
              <w:t>E</w:t>
            </w:r>
            <w:r w:rsidR="00895AE4" w:rsidRPr="00493890">
              <w:rPr>
                <w:b/>
              </w:rPr>
              <w:t>stimates</w:t>
            </w:r>
          </w:p>
        </w:tc>
      </w:tr>
      <w:tr w:rsidR="004B601C" w:rsidRPr="00493890" w14:paraId="3BA56199" w14:textId="77777777" w:rsidTr="007C1BCD">
        <w:trPr>
          <w:trHeight w:val="896"/>
        </w:trPr>
        <w:tc>
          <w:tcPr>
            <w:tcW w:w="2977" w:type="dxa"/>
            <w:vAlign w:val="center"/>
          </w:tcPr>
          <w:p w14:paraId="1020346A" w14:textId="77777777" w:rsidR="004B601C" w:rsidRPr="00493890" w:rsidRDefault="004B601C" w:rsidP="004B601C">
            <w:pPr>
              <w:ind w:right="386"/>
              <w:rPr>
                <w:b/>
              </w:rPr>
            </w:pPr>
            <w:r w:rsidRPr="00493890">
              <w:rPr>
                <w:b/>
              </w:rPr>
              <w:lastRenderedPageBreak/>
              <w:t>New Homes Bonus</w:t>
            </w:r>
          </w:p>
        </w:tc>
        <w:tc>
          <w:tcPr>
            <w:tcW w:w="1701" w:type="dxa"/>
            <w:shd w:val="clear" w:color="auto" w:fill="BFBFBF"/>
            <w:vAlign w:val="center"/>
          </w:tcPr>
          <w:p w14:paraId="3E878526" w14:textId="77777777" w:rsidR="004B601C" w:rsidRPr="00493890" w:rsidRDefault="004B601C" w:rsidP="004B601C">
            <w:pPr>
              <w:tabs>
                <w:tab w:val="left" w:pos="1202"/>
              </w:tabs>
              <w:jc w:val="right"/>
              <w:rPr>
                <w:b/>
              </w:rPr>
            </w:pPr>
            <w:r w:rsidRPr="00493890">
              <w:rPr>
                <w:b/>
              </w:rPr>
              <w:t>202</w:t>
            </w:r>
            <w:r w:rsidR="00493890" w:rsidRPr="00493890">
              <w:rPr>
                <w:b/>
              </w:rPr>
              <w:t>3</w:t>
            </w:r>
            <w:r w:rsidRPr="00493890">
              <w:rPr>
                <w:b/>
              </w:rPr>
              <w:t>/2</w:t>
            </w:r>
            <w:r w:rsidR="00493890" w:rsidRPr="00493890">
              <w:rPr>
                <w:b/>
              </w:rPr>
              <w:t>4</w:t>
            </w:r>
          </w:p>
          <w:p w14:paraId="700BD6F2" w14:textId="77777777" w:rsidR="004B601C" w:rsidRPr="00493890" w:rsidRDefault="004B601C" w:rsidP="004B601C">
            <w:pPr>
              <w:tabs>
                <w:tab w:val="left" w:pos="1404"/>
              </w:tabs>
              <w:jc w:val="right"/>
              <w:rPr>
                <w:b/>
              </w:rPr>
            </w:pPr>
            <w:r w:rsidRPr="00493890">
              <w:rPr>
                <w:b/>
              </w:rPr>
              <w:t>£000’s</w:t>
            </w:r>
          </w:p>
        </w:tc>
        <w:tc>
          <w:tcPr>
            <w:tcW w:w="1559" w:type="dxa"/>
            <w:shd w:val="clear" w:color="auto" w:fill="BFBFBF"/>
            <w:vAlign w:val="center"/>
          </w:tcPr>
          <w:p w14:paraId="11420172" w14:textId="77777777" w:rsidR="004B601C" w:rsidRPr="00493890" w:rsidRDefault="004B601C" w:rsidP="004B601C">
            <w:pPr>
              <w:ind w:right="34"/>
              <w:jc w:val="right"/>
              <w:rPr>
                <w:b/>
              </w:rPr>
            </w:pPr>
            <w:r w:rsidRPr="00493890">
              <w:rPr>
                <w:b/>
              </w:rPr>
              <w:t>202</w:t>
            </w:r>
            <w:r w:rsidR="00493890" w:rsidRPr="00493890">
              <w:rPr>
                <w:b/>
              </w:rPr>
              <w:t>4</w:t>
            </w:r>
            <w:r w:rsidRPr="00493890">
              <w:rPr>
                <w:b/>
              </w:rPr>
              <w:t>/2</w:t>
            </w:r>
            <w:r w:rsidR="00493890" w:rsidRPr="00493890">
              <w:rPr>
                <w:b/>
              </w:rPr>
              <w:t>5</w:t>
            </w:r>
            <w:r w:rsidRPr="00493890">
              <w:rPr>
                <w:b/>
              </w:rPr>
              <w:t xml:space="preserve"> </w:t>
            </w:r>
          </w:p>
          <w:p w14:paraId="2C3E2BE3" w14:textId="77777777" w:rsidR="004B601C" w:rsidRPr="00493890" w:rsidRDefault="004B601C" w:rsidP="004B601C">
            <w:pPr>
              <w:ind w:right="34"/>
              <w:jc w:val="right"/>
              <w:rPr>
                <w:b/>
              </w:rPr>
            </w:pPr>
            <w:r w:rsidRPr="00493890">
              <w:rPr>
                <w:b/>
              </w:rPr>
              <w:t>£000’s</w:t>
            </w:r>
          </w:p>
        </w:tc>
        <w:tc>
          <w:tcPr>
            <w:tcW w:w="1418" w:type="dxa"/>
            <w:shd w:val="clear" w:color="auto" w:fill="BFBFBF"/>
            <w:vAlign w:val="center"/>
          </w:tcPr>
          <w:p w14:paraId="68266327" w14:textId="77777777" w:rsidR="004B601C" w:rsidRPr="00493890" w:rsidRDefault="004B601C" w:rsidP="004B601C">
            <w:pPr>
              <w:ind w:right="34"/>
              <w:jc w:val="right"/>
              <w:rPr>
                <w:b/>
              </w:rPr>
            </w:pPr>
            <w:r w:rsidRPr="00493890">
              <w:rPr>
                <w:b/>
              </w:rPr>
              <w:t>202</w:t>
            </w:r>
            <w:r w:rsidR="00493890" w:rsidRPr="00493890">
              <w:rPr>
                <w:b/>
              </w:rPr>
              <w:t>5</w:t>
            </w:r>
            <w:r w:rsidRPr="00493890">
              <w:rPr>
                <w:b/>
              </w:rPr>
              <w:t>/2</w:t>
            </w:r>
            <w:r w:rsidR="00493890" w:rsidRPr="00493890">
              <w:rPr>
                <w:b/>
              </w:rPr>
              <w:t>6</w:t>
            </w:r>
            <w:r w:rsidRPr="00493890">
              <w:rPr>
                <w:b/>
              </w:rPr>
              <w:t xml:space="preserve"> </w:t>
            </w:r>
          </w:p>
          <w:p w14:paraId="23B6B825" w14:textId="77777777" w:rsidR="004B601C" w:rsidRPr="00493890" w:rsidRDefault="004B601C" w:rsidP="004B601C">
            <w:pPr>
              <w:ind w:right="34"/>
              <w:jc w:val="right"/>
              <w:rPr>
                <w:b/>
              </w:rPr>
            </w:pPr>
            <w:r w:rsidRPr="00493890">
              <w:rPr>
                <w:b/>
              </w:rPr>
              <w:t>£000’s</w:t>
            </w:r>
          </w:p>
        </w:tc>
        <w:tc>
          <w:tcPr>
            <w:tcW w:w="1417" w:type="dxa"/>
            <w:shd w:val="clear" w:color="auto" w:fill="BFBFBF"/>
            <w:vAlign w:val="center"/>
          </w:tcPr>
          <w:p w14:paraId="33C32947" w14:textId="77777777" w:rsidR="004B601C" w:rsidRPr="00493890" w:rsidRDefault="004B601C" w:rsidP="004B601C">
            <w:pPr>
              <w:ind w:right="175"/>
              <w:jc w:val="right"/>
              <w:rPr>
                <w:b/>
              </w:rPr>
            </w:pPr>
            <w:r w:rsidRPr="00493890">
              <w:rPr>
                <w:b/>
              </w:rPr>
              <w:t>202</w:t>
            </w:r>
            <w:r w:rsidR="00493890" w:rsidRPr="00493890">
              <w:rPr>
                <w:b/>
              </w:rPr>
              <w:t>6</w:t>
            </w:r>
            <w:r w:rsidRPr="00493890">
              <w:rPr>
                <w:b/>
              </w:rPr>
              <w:t>/2</w:t>
            </w:r>
            <w:r w:rsidR="00493890" w:rsidRPr="00493890">
              <w:rPr>
                <w:b/>
              </w:rPr>
              <w:t>7</w:t>
            </w:r>
            <w:r w:rsidRPr="00493890">
              <w:rPr>
                <w:b/>
              </w:rPr>
              <w:t xml:space="preserve"> </w:t>
            </w:r>
          </w:p>
          <w:p w14:paraId="6113475B" w14:textId="77777777" w:rsidR="004B601C" w:rsidRPr="00493890" w:rsidRDefault="004B601C" w:rsidP="004B601C">
            <w:pPr>
              <w:tabs>
                <w:tab w:val="left" w:pos="1350"/>
              </w:tabs>
              <w:ind w:right="175"/>
              <w:jc w:val="right"/>
              <w:rPr>
                <w:b/>
              </w:rPr>
            </w:pPr>
            <w:r w:rsidRPr="00493890">
              <w:rPr>
                <w:b/>
              </w:rPr>
              <w:t>£000’s</w:t>
            </w:r>
          </w:p>
        </w:tc>
      </w:tr>
      <w:tr w:rsidR="00BC3703" w:rsidRPr="00493890" w14:paraId="54AD62AF" w14:textId="77777777" w:rsidTr="007C1BCD">
        <w:tc>
          <w:tcPr>
            <w:tcW w:w="2977" w:type="dxa"/>
            <w:vAlign w:val="center"/>
          </w:tcPr>
          <w:p w14:paraId="529E07DE" w14:textId="77777777" w:rsidR="00BC3703" w:rsidRPr="00493890" w:rsidRDefault="00BC3703" w:rsidP="004B601C">
            <w:pPr>
              <w:ind w:right="386"/>
            </w:pPr>
            <w:r w:rsidRPr="00493890">
              <w:t>Consultation Budget</w:t>
            </w:r>
          </w:p>
        </w:tc>
        <w:tc>
          <w:tcPr>
            <w:tcW w:w="1701" w:type="dxa"/>
            <w:vAlign w:val="center"/>
          </w:tcPr>
          <w:p w14:paraId="13A0AEF6" w14:textId="77777777" w:rsidR="00BC3703" w:rsidRPr="00493890" w:rsidRDefault="00493890" w:rsidP="002D147C">
            <w:pPr>
              <w:jc w:val="right"/>
            </w:pPr>
            <w:r w:rsidRPr="00493890">
              <w:t>0</w:t>
            </w:r>
          </w:p>
        </w:tc>
        <w:tc>
          <w:tcPr>
            <w:tcW w:w="1559" w:type="dxa"/>
            <w:vAlign w:val="center"/>
          </w:tcPr>
          <w:p w14:paraId="1664C8A5" w14:textId="77777777" w:rsidR="00BC3703" w:rsidRPr="00493890" w:rsidRDefault="00493890" w:rsidP="004B601C">
            <w:pPr>
              <w:ind w:right="-7"/>
              <w:jc w:val="right"/>
            </w:pPr>
            <w:r w:rsidRPr="00493890">
              <w:t>0</w:t>
            </w:r>
          </w:p>
        </w:tc>
        <w:tc>
          <w:tcPr>
            <w:tcW w:w="1418" w:type="dxa"/>
            <w:vAlign w:val="center"/>
          </w:tcPr>
          <w:p w14:paraId="33721B0A" w14:textId="77777777" w:rsidR="00BC3703" w:rsidRPr="00493890" w:rsidRDefault="002D147C" w:rsidP="004B601C">
            <w:pPr>
              <w:jc w:val="right"/>
            </w:pPr>
            <w:r w:rsidRPr="00493890">
              <w:t>0</w:t>
            </w:r>
          </w:p>
        </w:tc>
        <w:tc>
          <w:tcPr>
            <w:tcW w:w="1417" w:type="dxa"/>
            <w:vAlign w:val="center"/>
          </w:tcPr>
          <w:p w14:paraId="3B8411D8" w14:textId="77777777" w:rsidR="00BC3703" w:rsidRPr="00493890" w:rsidRDefault="002D147C" w:rsidP="004B601C">
            <w:pPr>
              <w:jc w:val="right"/>
            </w:pPr>
            <w:r w:rsidRPr="00493890">
              <w:t>0</w:t>
            </w:r>
          </w:p>
        </w:tc>
      </w:tr>
      <w:tr w:rsidR="00BC3703" w:rsidRPr="00493890" w14:paraId="1546D78F" w14:textId="77777777" w:rsidTr="007C1BCD">
        <w:tc>
          <w:tcPr>
            <w:tcW w:w="2977" w:type="dxa"/>
            <w:vAlign w:val="center"/>
          </w:tcPr>
          <w:p w14:paraId="1AAFBDE6" w14:textId="77777777" w:rsidR="00BC3703" w:rsidRPr="00493890" w:rsidRDefault="007C1BCD" w:rsidP="004B601C">
            <w:pPr>
              <w:ind w:right="386"/>
            </w:pPr>
            <w:r w:rsidRPr="00493890">
              <w:t>Final</w:t>
            </w:r>
            <w:r w:rsidR="00BC3703" w:rsidRPr="00493890">
              <w:t xml:space="preserve"> Finance Settlement </w:t>
            </w:r>
          </w:p>
        </w:tc>
        <w:tc>
          <w:tcPr>
            <w:tcW w:w="1701" w:type="dxa"/>
            <w:vAlign w:val="center"/>
          </w:tcPr>
          <w:p w14:paraId="6314F0BA" w14:textId="77777777" w:rsidR="00BC3703" w:rsidRPr="00493890" w:rsidRDefault="00977030" w:rsidP="004B601C">
            <w:pPr>
              <w:tabs>
                <w:tab w:val="left" w:pos="1404"/>
              </w:tabs>
              <w:jc w:val="right"/>
            </w:pPr>
            <w:r>
              <w:t>(</w:t>
            </w:r>
            <w:r w:rsidR="00493890" w:rsidRPr="00493890">
              <w:t>663</w:t>
            </w:r>
            <w:r>
              <w:t>)</w:t>
            </w:r>
          </w:p>
        </w:tc>
        <w:tc>
          <w:tcPr>
            <w:tcW w:w="1559" w:type="dxa"/>
            <w:vAlign w:val="center"/>
          </w:tcPr>
          <w:p w14:paraId="3563F70C" w14:textId="77777777" w:rsidR="00BC3703" w:rsidRPr="00493890" w:rsidRDefault="00E7026F" w:rsidP="004B601C">
            <w:pPr>
              <w:ind w:right="-7"/>
              <w:jc w:val="right"/>
            </w:pPr>
            <w:r w:rsidRPr="00493890">
              <w:t>-</w:t>
            </w:r>
          </w:p>
        </w:tc>
        <w:tc>
          <w:tcPr>
            <w:tcW w:w="1418" w:type="dxa"/>
            <w:vAlign w:val="center"/>
          </w:tcPr>
          <w:p w14:paraId="57095B47" w14:textId="77777777" w:rsidR="00BC3703" w:rsidRPr="00493890" w:rsidRDefault="00B00B57" w:rsidP="004B601C">
            <w:pPr>
              <w:jc w:val="right"/>
            </w:pPr>
            <w:r w:rsidRPr="00493890">
              <w:t>0</w:t>
            </w:r>
          </w:p>
        </w:tc>
        <w:tc>
          <w:tcPr>
            <w:tcW w:w="1417" w:type="dxa"/>
            <w:vAlign w:val="center"/>
          </w:tcPr>
          <w:p w14:paraId="1CFF9D6B" w14:textId="77777777" w:rsidR="00BC3703" w:rsidRPr="00493890" w:rsidRDefault="00B00B57" w:rsidP="004B601C">
            <w:pPr>
              <w:jc w:val="right"/>
            </w:pPr>
            <w:r w:rsidRPr="00493890">
              <w:t>0</w:t>
            </w:r>
          </w:p>
        </w:tc>
      </w:tr>
      <w:tr w:rsidR="00BC3703" w:rsidRPr="002D79C8" w14:paraId="764A78E6" w14:textId="77777777" w:rsidTr="007C1BCD">
        <w:tc>
          <w:tcPr>
            <w:tcW w:w="2977" w:type="dxa"/>
            <w:vAlign w:val="center"/>
          </w:tcPr>
          <w:p w14:paraId="59C83994" w14:textId="77777777" w:rsidR="00BC3703" w:rsidRPr="002D79C8" w:rsidRDefault="00BC3703" w:rsidP="004B601C">
            <w:pPr>
              <w:ind w:right="386"/>
              <w:rPr>
                <w:b/>
              </w:rPr>
            </w:pPr>
            <w:r w:rsidRPr="002D79C8">
              <w:rPr>
                <w:b/>
              </w:rPr>
              <w:t>(Increase)/ Decrease</w:t>
            </w:r>
          </w:p>
        </w:tc>
        <w:tc>
          <w:tcPr>
            <w:tcW w:w="1701" w:type="dxa"/>
            <w:vAlign w:val="center"/>
          </w:tcPr>
          <w:p w14:paraId="7155B82E" w14:textId="77777777" w:rsidR="00BC3703" w:rsidRPr="002D79C8" w:rsidRDefault="00977030" w:rsidP="004B601C">
            <w:pPr>
              <w:tabs>
                <w:tab w:val="left" w:pos="1404"/>
              </w:tabs>
              <w:jc w:val="right"/>
              <w:rPr>
                <w:b/>
              </w:rPr>
            </w:pPr>
            <w:r>
              <w:rPr>
                <w:b/>
              </w:rPr>
              <w:t>(</w:t>
            </w:r>
            <w:r w:rsidR="00493890" w:rsidRPr="002D79C8">
              <w:rPr>
                <w:b/>
              </w:rPr>
              <w:t>663</w:t>
            </w:r>
            <w:r>
              <w:rPr>
                <w:b/>
              </w:rPr>
              <w:t>)</w:t>
            </w:r>
          </w:p>
        </w:tc>
        <w:tc>
          <w:tcPr>
            <w:tcW w:w="1559" w:type="dxa"/>
            <w:vAlign w:val="center"/>
          </w:tcPr>
          <w:p w14:paraId="0087BF9D" w14:textId="77777777" w:rsidR="00BC3703" w:rsidRPr="002D79C8" w:rsidRDefault="00B00B57" w:rsidP="004B601C">
            <w:pPr>
              <w:jc w:val="right"/>
              <w:rPr>
                <w:b/>
              </w:rPr>
            </w:pPr>
            <w:r w:rsidRPr="002D79C8">
              <w:rPr>
                <w:b/>
              </w:rPr>
              <w:t>0</w:t>
            </w:r>
          </w:p>
        </w:tc>
        <w:tc>
          <w:tcPr>
            <w:tcW w:w="1418" w:type="dxa"/>
            <w:vAlign w:val="center"/>
          </w:tcPr>
          <w:p w14:paraId="72CEAA19" w14:textId="77777777" w:rsidR="00BC3703" w:rsidRPr="002D79C8" w:rsidRDefault="00B00B57" w:rsidP="004B601C">
            <w:pPr>
              <w:ind w:right="-6"/>
              <w:jc w:val="right"/>
              <w:rPr>
                <w:b/>
              </w:rPr>
            </w:pPr>
            <w:r w:rsidRPr="002D79C8">
              <w:rPr>
                <w:b/>
              </w:rPr>
              <w:t>0</w:t>
            </w:r>
          </w:p>
        </w:tc>
        <w:tc>
          <w:tcPr>
            <w:tcW w:w="1417" w:type="dxa"/>
            <w:vAlign w:val="center"/>
          </w:tcPr>
          <w:p w14:paraId="7D606688" w14:textId="77777777" w:rsidR="00BC3703" w:rsidRPr="002D79C8" w:rsidRDefault="00B00B57" w:rsidP="004B601C">
            <w:pPr>
              <w:tabs>
                <w:tab w:val="left" w:pos="1350"/>
              </w:tabs>
              <w:jc w:val="right"/>
              <w:rPr>
                <w:b/>
              </w:rPr>
            </w:pPr>
            <w:r w:rsidRPr="002D79C8">
              <w:rPr>
                <w:b/>
              </w:rPr>
              <w:t>0</w:t>
            </w:r>
          </w:p>
        </w:tc>
      </w:tr>
    </w:tbl>
    <w:p w14:paraId="220CF562" w14:textId="77777777" w:rsidR="00D50314" w:rsidRDefault="00D50314" w:rsidP="006174CA"/>
    <w:p w14:paraId="662E84BE" w14:textId="77777777" w:rsidR="00CA163A" w:rsidRPr="002D79C8" w:rsidRDefault="00CA163A" w:rsidP="00D50314">
      <w:pPr>
        <w:pStyle w:val="Heading1"/>
      </w:pPr>
      <w:r w:rsidRPr="002D79C8">
        <w:t>Other Key Assumptions</w:t>
      </w:r>
    </w:p>
    <w:p w14:paraId="21A76C8E" w14:textId="27FFF101" w:rsidR="00CA163A" w:rsidRPr="002D79C8" w:rsidRDefault="00CA163A" w:rsidP="008B4AB5">
      <w:pPr>
        <w:pStyle w:val="bParagraphtext"/>
        <w:numPr>
          <w:ilvl w:val="0"/>
          <w:numId w:val="37"/>
        </w:numPr>
        <w:ind w:left="426" w:hanging="426"/>
      </w:pPr>
      <w:r w:rsidRPr="002D79C8">
        <w:t xml:space="preserve">Key assumptions included within the Consultation Budget Proposals that remain unchanged </w:t>
      </w:r>
      <w:r w:rsidR="00F81F3F">
        <w:t>include</w:t>
      </w:r>
      <w:r w:rsidRPr="002D79C8">
        <w:t>:</w:t>
      </w:r>
    </w:p>
    <w:p w14:paraId="2EFC3CE8" w14:textId="77777777" w:rsidR="00CA163A" w:rsidRPr="002D79C8" w:rsidRDefault="00CA163A" w:rsidP="00F81F3F">
      <w:pPr>
        <w:pStyle w:val="ListParagraph"/>
        <w:numPr>
          <w:ilvl w:val="0"/>
          <w:numId w:val="7"/>
        </w:numPr>
        <w:tabs>
          <w:tab w:val="clear" w:pos="426"/>
        </w:tabs>
        <w:spacing w:after="0"/>
        <w:ind w:left="868" w:hanging="420"/>
        <w:rPr>
          <w:rFonts w:cs="Arial"/>
        </w:rPr>
      </w:pPr>
      <w:r w:rsidRPr="002D79C8">
        <w:rPr>
          <w:rFonts w:cs="Arial"/>
          <w:b/>
        </w:rPr>
        <w:t>Council Tax</w:t>
      </w:r>
      <w:r w:rsidRPr="002D79C8">
        <w:rPr>
          <w:rFonts w:cs="Arial"/>
        </w:rPr>
        <w:t xml:space="preserve"> – The recently announced referendum principles are in line with </w:t>
      </w:r>
      <w:r w:rsidR="001B7C0F" w:rsidRPr="002D79C8">
        <w:rPr>
          <w:rFonts w:cs="Arial"/>
        </w:rPr>
        <w:t xml:space="preserve">previous </w:t>
      </w:r>
      <w:r w:rsidRPr="002D79C8">
        <w:rPr>
          <w:rFonts w:cs="Arial"/>
        </w:rPr>
        <w:t xml:space="preserve">assumptions and </w:t>
      </w:r>
      <w:r w:rsidR="001B7C0F" w:rsidRPr="002D79C8">
        <w:rPr>
          <w:rFonts w:cs="Arial"/>
        </w:rPr>
        <w:t xml:space="preserve">the recommendation of </w:t>
      </w:r>
      <w:r w:rsidR="00DD16A8" w:rsidRPr="002D79C8">
        <w:rPr>
          <w:rFonts w:cs="Arial"/>
        </w:rPr>
        <w:t>a council tax increase of 2</w:t>
      </w:r>
      <w:r w:rsidRPr="002D79C8">
        <w:rPr>
          <w:rFonts w:cs="Arial"/>
        </w:rPr>
        <w:t>.99%</w:t>
      </w:r>
    </w:p>
    <w:p w14:paraId="1DB96866" w14:textId="77777777" w:rsidR="001B7C0F" w:rsidRPr="002D79C8" w:rsidRDefault="001B7C0F" w:rsidP="00F81F3F">
      <w:pPr>
        <w:pStyle w:val="ListParagraph"/>
        <w:numPr>
          <w:ilvl w:val="0"/>
          <w:numId w:val="7"/>
        </w:numPr>
        <w:tabs>
          <w:tab w:val="clear" w:pos="426"/>
        </w:tabs>
        <w:spacing w:after="0"/>
        <w:ind w:left="868" w:hanging="420"/>
        <w:rPr>
          <w:rFonts w:cs="Arial"/>
        </w:rPr>
      </w:pPr>
      <w:r w:rsidRPr="002D79C8">
        <w:rPr>
          <w:rFonts w:cs="Arial"/>
          <w:b/>
        </w:rPr>
        <w:t xml:space="preserve">Income streams </w:t>
      </w:r>
      <w:r w:rsidR="0056737E" w:rsidRPr="002D79C8">
        <w:rPr>
          <w:rFonts w:cs="Arial"/>
        </w:rPr>
        <w:t xml:space="preserve">– Since the setting of the consultation budget the Council has reviewed it long term income forecasts of key income streams such as car parking, town hall lettings, commercial rents. Prudent assumptions were made within the Consultation budget about how these may be </w:t>
      </w:r>
      <w:r w:rsidR="004D7EFC" w:rsidRPr="002D79C8">
        <w:rPr>
          <w:rFonts w:cs="Arial"/>
        </w:rPr>
        <w:t>a</w:t>
      </w:r>
      <w:r w:rsidR="0056737E" w:rsidRPr="002D79C8">
        <w:rPr>
          <w:rFonts w:cs="Arial"/>
        </w:rPr>
        <w:t xml:space="preserve">ffected over the coming months and year including the speed that they may bounce back. </w:t>
      </w:r>
      <w:r w:rsidR="00811F12" w:rsidRPr="002D79C8">
        <w:rPr>
          <w:rFonts w:cs="Arial"/>
        </w:rPr>
        <w:t xml:space="preserve">Commercial rental income and car parking revenues remain problematic but the </w:t>
      </w:r>
      <w:r w:rsidR="0056737E" w:rsidRPr="002D79C8">
        <w:rPr>
          <w:rFonts w:cs="Arial"/>
        </w:rPr>
        <w:t xml:space="preserve">assumptions </w:t>
      </w:r>
      <w:r w:rsidR="00811F12" w:rsidRPr="002D79C8">
        <w:rPr>
          <w:rFonts w:cs="Arial"/>
        </w:rPr>
        <w:t xml:space="preserve">made in the Consultation Budget </w:t>
      </w:r>
      <w:r w:rsidR="0056737E" w:rsidRPr="002D79C8">
        <w:rPr>
          <w:rFonts w:cs="Arial"/>
        </w:rPr>
        <w:t>still stand and therefore no further adjustment has been made to the forecast income levels</w:t>
      </w:r>
      <w:r w:rsidR="00811F12" w:rsidRPr="002D79C8">
        <w:rPr>
          <w:rFonts w:cs="Arial"/>
        </w:rPr>
        <w:t>.</w:t>
      </w:r>
      <w:r w:rsidR="0056737E" w:rsidRPr="002D79C8">
        <w:rPr>
          <w:rFonts w:cs="Arial"/>
        </w:rPr>
        <w:t xml:space="preserve"> </w:t>
      </w:r>
    </w:p>
    <w:p w14:paraId="6CE6DBE8" w14:textId="77777777" w:rsidR="00CA163A" w:rsidRPr="002D79C8" w:rsidRDefault="00036B83" w:rsidP="00F81F3F">
      <w:pPr>
        <w:pStyle w:val="ListParagraph"/>
        <w:numPr>
          <w:ilvl w:val="0"/>
          <w:numId w:val="7"/>
        </w:numPr>
        <w:tabs>
          <w:tab w:val="clear" w:pos="426"/>
        </w:tabs>
        <w:spacing w:after="0"/>
        <w:ind w:left="868" w:hanging="420"/>
        <w:rPr>
          <w:rFonts w:cs="Arial"/>
        </w:rPr>
      </w:pPr>
      <w:r w:rsidRPr="002D79C8">
        <w:rPr>
          <w:rFonts w:cs="Arial"/>
          <w:b/>
        </w:rPr>
        <w:t>Efficiencies</w:t>
      </w:r>
      <w:r w:rsidR="00CA163A" w:rsidRPr="002D79C8">
        <w:rPr>
          <w:rFonts w:cs="Arial"/>
          <w:b/>
        </w:rPr>
        <w:t xml:space="preserve"> </w:t>
      </w:r>
      <w:r w:rsidR="00CA163A" w:rsidRPr="002D79C8">
        <w:rPr>
          <w:rFonts w:cs="Arial"/>
        </w:rPr>
        <w:t xml:space="preserve">– largely in accordance with the </w:t>
      </w:r>
      <w:r w:rsidRPr="002D79C8">
        <w:rPr>
          <w:rFonts w:cs="Arial"/>
        </w:rPr>
        <w:t>Consultation</w:t>
      </w:r>
      <w:r w:rsidR="00CA163A" w:rsidRPr="002D79C8">
        <w:rPr>
          <w:rFonts w:cs="Arial"/>
        </w:rPr>
        <w:t xml:space="preserve"> Budget </w:t>
      </w:r>
      <w:r w:rsidR="00DD16A8" w:rsidRPr="002D79C8">
        <w:rPr>
          <w:rFonts w:cs="Arial"/>
        </w:rPr>
        <w:t>wit</w:t>
      </w:r>
      <w:r w:rsidR="00CA163A" w:rsidRPr="002D79C8">
        <w:rPr>
          <w:rFonts w:cs="Arial"/>
        </w:rPr>
        <w:t>h some exceptions detailed below</w:t>
      </w:r>
    </w:p>
    <w:p w14:paraId="6F8F3EBA" w14:textId="77777777" w:rsidR="00CA163A" w:rsidRPr="002D79C8" w:rsidRDefault="00CA163A" w:rsidP="00F81F3F">
      <w:pPr>
        <w:pStyle w:val="ListParagraph"/>
        <w:numPr>
          <w:ilvl w:val="0"/>
          <w:numId w:val="7"/>
        </w:numPr>
        <w:tabs>
          <w:tab w:val="clear" w:pos="426"/>
        </w:tabs>
        <w:spacing w:after="0"/>
        <w:ind w:left="868" w:hanging="420"/>
        <w:rPr>
          <w:rFonts w:cs="Arial"/>
        </w:rPr>
      </w:pPr>
      <w:r w:rsidRPr="002D79C8">
        <w:rPr>
          <w:rFonts w:cs="Arial"/>
          <w:b/>
        </w:rPr>
        <w:t>Fees and charges –</w:t>
      </w:r>
      <w:r w:rsidRPr="002D79C8">
        <w:rPr>
          <w:rFonts w:cs="Arial"/>
        </w:rPr>
        <w:t xml:space="preserve"> largely in accordance with Consultation Budget with a few exceptions below</w:t>
      </w:r>
    </w:p>
    <w:p w14:paraId="656651B1" w14:textId="77777777" w:rsidR="00CA163A" w:rsidRPr="002D79C8" w:rsidRDefault="00CA163A" w:rsidP="00F81F3F">
      <w:pPr>
        <w:pStyle w:val="ListParagraph"/>
        <w:numPr>
          <w:ilvl w:val="0"/>
          <w:numId w:val="7"/>
        </w:numPr>
        <w:tabs>
          <w:tab w:val="clear" w:pos="426"/>
        </w:tabs>
        <w:spacing w:after="0"/>
        <w:ind w:left="868" w:hanging="420"/>
        <w:rPr>
          <w:rFonts w:cs="Arial"/>
        </w:rPr>
      </w:pPr>
      <w:r w:rsidRPr="002D79C8">
        <w:rPr>
          <w:rFonts w:cs="Arial"/>
          <w:b/>
        </w:rPr>
        <w:t>Investment interest –</w:t>
      </w:r>
      <w:r w:rsidRPr="002D79C8">
        <w:rPr>
          <w:rFonts w:cs="Arial"/>
        </w:rPr>
        <w:t xml:space="preserve"> in accordance with consultation budget</w:t>
      </w:r>
    </w:p>
    <w:p w14:paraId="2158D157" w14:textId="77777777" w:rsidR="00CA163A" w:rsidRPr="002D79C8" w:rsidRDefault="00CA163A" w:rsidP="00F81F3F">
      <w:pPr>
        <w:pStyle w:val="ListParagraph"/>
        <w:numPr>
          <w:ilvl w:val="0"/>
          <w:numId w:val="7"/>
        </w:numPr>
        <w:tabs>
          <w:tab w:val="clear" w:pos="426"/>
        </w:tabs>
        <w:spacing w:after="0"/>
        <w:ind w:left="868" w:hanging="420"/>
        <w:rPr>
          <w:rFonts w:cs="Arial"/>
        </w:rPr>
      </w:pPr>
      <w:r w:rsidRPr="002D79C8">
        <w:rPr>
          <w:rFonts w:cs="Arial"/>
          <w:b/>
        </w:rPr>
        <w:lastRenderedPageBreak/>
        <w:t>Returns from wholly owned companies –</w:t>
      </w:r>
      <w:r w:rsidRPr="002D79C8">
        <w:rPr>
          <w:rFonts w:cs="Arial"/>
        </w:rPr>
        <w:t xml:space="preserve"> </w:t>
      </w:r>
      <w:r w:rsidR="00811F12" w:rsidRPr="002D79C8">
        <w:rPr>
          <w:rFonts w:cs="Arial"/>
        </w:rPr>
        <w:t>in accordance with the consultation budget</w:t>
      </w:r>
    </w:p>
    <w:p w14:paraId="6763A881" w14:textId="77777777" w:rsidR="00312D4B" w:rsidRPr="00E93BBC" w:rsidRDefault="00312D4B" w:rsidP="00F81F3F">
      <w:pPr>
        <w:pStyle w:val="ListParagraph"/>
        <w:numPr>
          <w:ilvl w:val="0"/>
          <w:numId w:val="7"/>
        </w:numPr>
        <w:ind w:left="868" w:right="386" w:hanging="420"/>
        <w:rPr>
          <w:rFonts w:cs="Arial"/>
          <w:color w:val="auto"/>
        </w:rPr>
      </w:pPr>
      <w:r w:rsidRPr="002D79C8">
        <w:rPr>
          <w:rFonts w:cs="Arial"/>
          <w:b/>
        </w:rPr>
        <w:t>Pensions</w:t>
      </w:r>
      <w:r w:rsidRPr="002D79C8">
        <w:rPr>
          <w:rFonts w:cs="Arial"/>
        </w:rPr>
        <w:t xml:space="preserve"> - The Medium Term Financial Strategy includes an increase from the current contribution in line with pay inflation increases. The next triennial review will be with effect from 1</w:t>
      </w:r>
      <w:r w:rsidRPr="002D79C8">
        <w:rPr>
          <w:rFonts w:cs="Arial"/>
          <w:vertAlign w:val="superscript"/>
        </w:rPr>
        <w:t>ST</w:t>
      </w:r>
      <w:r w:rsidRPr="002D79C8">
        <w:rPr>
          <w:rFonts w:cs="Arial"/>
        </w:rPr>
        <w:t xml:space="preserve"> April 2023.  </w:t>
      </w:r>
      <w:r w:rsidR="00DD16A8" w:rsidRPr="002D79C8">
        <w:rPr>
          <w:rFonts w:cs="Arial"/>
        </w:rPr>
        <w:t>The budget allows for a premature repayment of £5 million into the pension fund on 1</w:t>
      </w:r>
      <w:r w:rsidR="00DD16A8" w:rsidRPr="002D79C8">
        <w:rPr>
          <w:rFonts w:cs="Arial"/>
          <w:vertAlign w:val="superscript"/>
        </w:rPr>
        <w:t>st</w:t>
      </w:r>
      <w:r w:rsidR="00DD16A8" w:rsidRPr="002D79C8">
        <w:rPr>
          <w:rFonts w:cs="Arial"/>
        </w:rPr>
        <w:t xml:space="preserve"> April 2023 to reduce the employers </w:t>
      </w:r>
      <w:r w:rsidR="00DD16A8" w:rsidRPr="00E93BBC">
        <w:rPr>
          <w:rFonts w:cs="Arial"/>
          <w:color w:val="auto"/>
        </w:rPr>
        <w:t xml:space="preserve">contribution rate leading to a revenue saving to the council. </w:t>
      </w:r>
    </w:p>
    <w:p w14:paraId="75445C03" w14:textId="1EB7B539" w:rsidR="00CA163A" w:rsidRPr="00D3389B" w:rsidRDefault="00CA163A" w:rsidP="00F81F3F">
      <w:pPr>
        <w:pStyle w:val="ListParagraph"/>
        <w:numPr>
          <w:ilvl w:val="0"/>
          <w:numId w:val="7"/>
        </w:numPr>
        <w:tabs>
          <w:tab w:val="clear" w:pos="426"/>
        </w:tabs>
        <w:spacing w:after="0"/>
        <w:ind w:left="868" w:hanging="420"/>
        <w:rPr>
          <w:rFonts w:asciiTheme="minorHAnsi" w:hAnsiTheme="minorHAnsi" w:cstheme="minorHAnsi"/>
          <w:color w:val="auto"/>
        </w:rPr>
      </w:pPr>
      <w:r w:rsidRPr="00E93BBC">
        <w:rPr>
          <w:b/>
          <w:color w:val="auto"/>
        </w:rPr>
        <w:t>Pay</w:t>
      </w:r>
      <w:r w:rsidRPr="00E93BBC">
        <w:rPr>
          <w:color w:val="auto"/>
        </w:rPr>
        <w:t xml:space="preserve">- </w:t>
      </w:r>
      <w:r w:rsidR="002D79C8" w:rsidRPr="00E93BBC">
        <w:rPr>
          <w:color w:val="auto"/>
        </w:rPr>
        <w:t>Last year the Council agreed a 2 year local pay deal with the staff unions, commencing 1</w:t>
      </w:r>
      <w:r w:rsidR="002D79C8" w:rsidRPr="00E93BBC">
        <w:rPr>
          <w:color w:val="auto"/>
          <w:vertAlign w:val="superscript"/>
        </w:rPr>
        <w:t>st</w:t>
      </w:r>
      <w:r w:rsidR="002D79C8" w:rsidRPr="00E93BBC">
        <w:rPr>
          <w:color w:val="auto"/>
        </w:rPr>
        <w:t xml:space="preserve"> April 2022 of 2% and 2.5%. In December 2022 to reflect economic conditions the Council agreed an additional one off payment to al staff of £500</w:t>
      </w:r>
      <w:r w:rsidRPr="00E93BBC">
        <w:rPr>
          <w:rFonts w:cs="Arial"/>
          <w:color w:val="auto"/>
        </w:rPr>
        <w:t>.</w:t>
      </w:r>
      <w:r w:rsidR="002D79C8" w:rsidRPr="00E93BBC">
        <w:rPr>
          <w:rFonts w:cs="Arial"/>
          <w:color w:val="auto"/>
        </w:rPr>
        <w:t xml:space="preserve"> Future pay assumptions are in line with the current national pay award which has recently been settled at £1</w:t>
      </w:r>
      <w:r w:rsidR="00483BE3">
        <w:rPr>
          <w:rFonts w:cs="Arial"/>
          <w:color w:val="auto"/>
        </w:rPr>
        <w:t>,</w:t>
      </w:r>
      <w:r w:rsidR="002D79C8" w:rsidRPr="00E93BBC">
        <w:rPr>
          <w:rFonts w:cs="Arial"/>
          <w:color w:val="auto"/>
        </w:rPr>
        <w:t>925 per employee.</w:t>
      </w:r>
    </w:p>
    <w:p w14:paraId="446A5969" w14:textId="77777777" w:rsidR="007E5CFE" w:rsidRPr="00E93BBC" w:rsidRDefault="00BD65EC" w:rsidP="00894084">
      <w:pPr>
        <w:pStyle w:val="Heading1"/>
        <w:ind w:left="426" w:hanging="426"/>
        <w:rPr>
          <w:color w:val="auto"/>
        </w:rPr>
      </w:pPr>
      <w:r w:rsidRPr="00E93BBC">
        <w:rPr>
          <w:color w:val="auto"/>
        </w:rPr>
        <w:t>Changes since the Consultation Budget</w:t>
      </w:r>
    </w:p>
    <w:p w14:paraId="3EF4F10E" w14:textId="77777777" w:rsidR="00CC4F04" w:rsidRPr="00B4141E" w:rsidRDefault="00CC4F04" w:rsidP="008B4AB5">
      <w:pPr>
        <w:pStyle w:val="ListParagraph"/>
        <w:numPr>
          <w:ilvl w:val="0"/>
          <w:numId w:val="37"/>
        </w:numPr>
        <w:tabs>
          <w:tab w:val="clear" w:pos="426"/>
          <w:tab w:val="left" w:pos="490"/>
        </w:tabs>
        <w:ind w:left="462" w:hanging="420"/>
        <w:rPr>
          <w:color w:val="auto"/>
        </w:rPr>
      </w:pPr>
      <w:r w:rsidRPr="00B4141E">
        <w:rPr>
          <w:color w:val="auto"/>
        </w:rPr>
        <w:t>A number of other changes have been made to the Council</w:t>
      </w:r>
      <w:r w:rsidR="00A7165F" w:rsidRPr="00B4141E">
        <w:rPr>
          <w:color w:val="auto"/>
        </w:rPr>
        <w:t>’</w:t>
      </w:r>
      <w:r w:rsidRPr="00B4141E">
        <w:rPr>
          <w:color w:val="auto"/>
        </w:rPr>
        <w:t>s Budget in comparison to the Consultat</w:t>
      </w:r>
      <w:r w:rsidR="0056737E" w:rsidRPr="00B4141E">
        <w:rPr>
          <w:color w:val="auto"/>
        </w:rPr>
        <w:t xml:space="preserve">ion Budget agreed at Cabinet on </w:t>
      </w:r>
      <w:r w:rsidR="00C80CE0" w:rsidRPr="00B4141E">
        <w:rPr>
          <w:color w:val="auto"/>
        </w:rPr>
        <w:t>14</w:t>
      </w:r>
      <w:r w:rsidR="0056737E" w:rsidRPr="00B4141E">
        <w:rPr>
          <w:color w:val="auto"/>
          <w:vertAlign w:val="superscript"/>
        </w:rPr>
        <w:t>th</w:t>
      </w:r>
      <w:r w:rsidR="0056737E" w:rsidRPr="00B4141E">
        <w:rPr>
          <w:color w:val="auto"/>
        </w:rPr>
        <w:t xml:space="preserve"> December 202</w:t>
      </w:r>
      <w:r w:rsidR="00C80CE0" w:rsidRPr="00B4141E">
        <w:rPr>
          <w:color w:val="auto"/>
        </w:rPr>
        <w:t>2</w:t>
      </w:r>
      <w:r w:rsidR="0056737E" w:rsidRPr="00B4141E">
        <w:rPr>
          <w:color w:val="auto"/>
        </w:rPr>
        <w:t>.</w:t>
      </w:r>
    </w:p>
    <w:p w14:paraId="55D06CBE" w14:textId="77777777" w:rsidR="00B4141E" w:rsidRPr="00B4141E" w:rsidRDefault="00B4141E" w:rsidP="003716D8">
      <w:pPr>
        <w:pStyle w:val="ListParagraph"/>
        <w:numPr>
          <w:ilvl w:val="0"/>
          <w:numId w:val="0"/>
        </w:numPr>
        <w:ind w:left="744" w:hanging="254"/>
        <w:rPr>
          <w:b/>
          <w:color w:val="auto"/>
        </w:rPr>
      </w:pPr>
      <w:r w:rsidRPr="00B4141E">
        <w:rPr>
          <w:b/>
          <w:color w:val="auto"/>
        </w:rPr>
        <w:t>Pressures</w:t>
      </w:r>
    </w:p>
    <w:p w14:paraId="37E899E1" w14:textId="77777777" w:rsidR="002E26A8" w:rsidRPr="00E93BBC" w:rsidRDefault="00C80CE0" w:rsidP="003716D8">
      <w:pPr>
        <w:pStyle w:val="ListParagraph"/>
        <w:numPr>
          <w:ilvl w:val="0"/>
          <w:numId w:val="15"/>
        </w:numPr>
        <w:ind w:left="966" w:hanging="448"/>
        <w:rPr>
          <w:color w:val="auto"/>
        </w:rPr>
      </w:pPr>
      <w:r w:rsidRPr="00E93BBC">
        <w:rPr>
          <w:b/>
          <w:color w:val="auto"/>
        </w:rPr>
        <w:t>Bulky waste</w:t>
      </w:r>
      <w:r w:rsidR="00C267E7" w:rsidRPr="00E93BBC">
        <w:rPr>
          <w:color w:val="auto"/>
        </w:rPr>
        <w:t xml:space="preserve"> – the current take</w:t>
      </w:r>
      <w:r w:rsidR="001B084F">
        <w:rPr>
          <w:color w:val="auto"/>
        </w:rPr>
        <w:t>-</w:t>
      </w:r>
      <w:r w:rsidR="00C267E7" w:rsidRPr="00E93BBC">
        <w:rPr>
          <w:color w:val="auto"/>
        </w:rPr>
        <w:t>up of bulky waste collections indicates a reduction in the base budgeted income from £122k to £120k per annum.</w:t>
      </w:r>
    </w:p>
    <w:p w14:paraId="716412F2" w14:textId="77777777" w:rsidR="00C267E7" w:rsidRPr="00E93BBC" w:rsidRDefault="00C267E7" w:rsidP="003716D8">
      <w:pPr>
        <w:pStyle w:val="ListParagraph"/>
        <w:numPr>
          <w:ilvl w:val="0"/>
          <w:numId w:val="15"/>
        </w:numPr>
        <w:ind w:left="966" w:hanging="448"/>
        <w:rPr>
          <w:color w:val="auto"/>
        </w:rPr>
      </w:pPr>
      <w:r w:rsidRPr="00E93BBC">
        <w:rPr>
          <w:b/>
          <w:color w:val="auto"/>
        </w:rPr>
        <w:t xml:space="preserve">CDM posts </w:t>
      </w:r>
      <w:r w:rsidRPr="00E93BBC">
        <w:rPr>
          <w:color w:val="auto"/>
        </w:rPr>
        <w:t xml:space="preserve">– Changes in Construction Design and Management health and safety regulations in relation to construction projects necessitate an increase of 2 posts in this area, one for Housing (HRA) related projects and one for General Fund. </w:t>
      </w:r>
    </w:p>
    <w:p w14:paraId="2737AF53" w14:textId="77777777" w:rsidR="00C80CE0" w:rsidRPr="00E93BBC" w:rsidRDefault="00C80CE0" w:rsidP="003716D8">
      <w:pPr>
        <w:pStyle w:val="ListParagraph"/>
        <w:numPr>
          <w:ilvl w:val="0"/>
          <w:numId w:val="15"/>
        </w:numPr>
        <w:ind w:left="966" w:hanging="448"/>
        <w:rPr>
          <w:color w:val="auto"/>
        </w:rPr>
      </w:pPr>
      <w:r w:rsidRPr="00E93BBC">
        <w:rPr>
          <w:b/>
          <w:color w:val="auto"/>
        </w:rPr>
        <w:t>Law and Governance</w:t>
      </w:r>
      <w:r w:rsidR="00C267E7" w:rsidRPr="00E93BBC">
        <w:rPr>
          <w:b/>
          <w:color w:val="auto"/>
        </w:rPr>
        <w:t xml:space="preserve"> salaries</w:t>
      </w:r>
      <w:r w:rsidR="00C267E7" w:rsidRPr="00E93BBC">
        <w:rPr>
          <w:color w:val="auto"/>
        </w:rPr>
        <w:t xml:space="preserve">- There are currently 8 vacancies within the law and governance team. A number of attempts to recruit </w:t>
      </w:r>
      <w:r w:rsidR="00C267E7" w:rsidRPr="00E93BBC">
        <w:rPr>
          <w:color w:val="auto"/>
        </w:rPr>
        <w:lastRenderedPageBreak/>
        <w:t xml:space="preserve">have not provided suitable candidates. Benchmarking against comparable jobs in the market indicate that the salary is insufficient to attract candidates and the additional budget provision will allow market supplements to increase the chances of recruitment success. </w:t>
      </w:r>
    </w:p>
    <w:p w14:paraId="1E4DBBBA" w14:textId="77777777" w:rsidR="00C267E7" w:rsidRDefault="00977030" w:rsidP="003716D8">
      <w:pPr>
        <w:pStyle w:val="ListParagraph"/>
        <w:numPr>
          <w:ilvl w:val="0"/>
          <w:numId w:val="15"/>
        </w:numPr>
        <w:ind w:left="966" w:hanging="448"/>
        <w:rPr>
          <w:color w:val="auto"/>
        </w:rPr>
      </w:pPr>
      <w:r w:rsidRPr="00977030">
        <w:rPr>
          <w:b/>
          <w:color w:val="auto"/>
        </w:rPr>
        <w:t>Congestion</w:t>
      </w:r>
      <w:r w:rsidR="00C267E7" w:rsidRPr="00977030">
        <w:rPr>
          <w:b/>
          <w:color w:val="auto"/>
        </w:rPr>
        <w:t xml:space="preserve"> –</w:t>
      </w:r>
      <w:r w:rsidR="00C267E7" w:rsidRPr="00E93BBC">
        <w:rPr>
          <w:color w:val="auto"/>
        </w:rPr>
        <w:t xml:space="preserve"> The recent delay to the implementation of the traffic filters in the city will result in addition costs incurred for services provided by ODS. The additional costs ha</w:t>
      </w:r>
      <w:r w:rsidR="00EE7519">
        <w:rPr>
          <w:color w:val="auto"/>
        </w:rPr>
        <w:t>ve</w:t>
      </w:r>
      <w:r w:rsidR="00C267E7" w:rsidRPr="00E93BBC">
        <w:rPr>
          <w:color w:val="auto"/>
        </w:rPr>
        <w:t xml:space="preserve"> been budgeted for the next 3 years. </w:t>
      </w:r>
    </w:p>
    <w:p w14:paraId="2727875E" w14:textId="77777777" w:rsidR="00B4141E" w:rsidRDefault="00B4141E" w:rsidP="00B25B06">
      <w:pPr>
        <w:ind w:left="790" w:hanging="314"/>
        <w:rPr>
          <w:b/>
          <w:color w:val="auto"/>
        </w:rPr>
      </w:pPr>
      <w:r w:rsidRPr="00B4141E">
        <w:rPr>
          <w:b/>
          <w:color w:val="auto"/>
        </w:rPr>
        <w:t xml:space="preserve">Other changes </w:t>
      </w:r>
    </w:p>
    <w:p w14:paraId="3280EEDA" w14:textId="5EF7CF68" w:rsidR="001B084F" w:rsidRPr="008B4AB5" w:rsidRDefault="001B084F" w:rsidP="008B4AB5">
      <w:pPr>
        <w:pStyle w:val="ListParagraph"/>
        <w:numPr>
          <w:ilvl w:val="0"/>
          <w:numId w:val="37"/>
        </w:numPr>
        <w:tabs>
          <w:tab w:val="clear" w:pos="426"/>
          <w:tab w:val="left" w:pos="504"/>
        </w:tabs>
        <w:ind w:left="490" w:hanging="448"/>
        <w:rPr>
          <w:bCs/>
          <w:color w:val="auto"/>
        </w:rPr>
      </w:pPr>
      <w:r w:rsidRPr="008B4AB5">
        <w:rPr>
          <w:bCs/>
          <w:color w:val="auto"/>
        </w:rPr>
        <w:t>A number of other changes are proposed by the Administration in comparison to the draft budget:</w:t>
      </w:r>
    </w:p>
    <w:p w14:paraId="1757E289" w14:textId="77777777" w:rsidR="001B084F" w:rsidRDefault="001B084F" w:rsidP="00B25B06">
      <w:pPr>
        <w:pStyle w:val="ListParagraph"/>
        <w:numPr>
          <w:ilvl w:val="0"/>
          <w:numId w:val="21"/>
        </w:numPr>
        <w:ind w:left="966" w:hanging="462"/>
        <w:rPr>
          <w:color w:val="auto"/>
        </w:rPr>
      </w:pPr>
      <w:r>
        <w:rPr>
          <w:color w:val="auto"/>
        </w:rPr>
        <w:t xml:space="preserve">Safety measures at Barton - £10k.  This will enable works to address safety concerns about a grassed slope adjacent to football pitches. </w:t>
      </w:r>
    </w:p>
    <w:p w14:paraId="219A643C" w14:textId="77777777" w:rsidR="001B084F" w:rsidRDefault="001B084F" w:rsidP="00B25B06">
      <w:pPr>
        <w:pStyle w:val="ListParagraph"/>
        <w:numPr>
          <w:ilvl w:val="0"/>
          <w:numId w:val="21"/>
        </w:numPr>
        <w:ind w:left="966" w:hanging="462"/>
        <w:rPr>
          <w:color w:val="auto"/>
        </w:rPr>
      </w:pPr>
      <w:r>
        <w:rPr>
          <w:color w:val="auto"/>
        </w:rPr>
        <w:t>Additional lighting to Multi Use Games Area (MUGA) – Wood Farm: £35k.  This will enable lighting of the Multi Use Games Area, which has received strong support from the local community, local police, youth workers and council officers.</w:t>
      </w:r>
    </w:p>
    <w:p w14:paraId="3B0409B2" w14:textId="77777777" w:rsidR="001B084F" w:rsidRDefault="001B084F" w:rsidP="00B25B06">
      <w:pPr>
        <w:pStyle w:val="ListParagraph"/>
        <w:numPr>
          <w:ilvl w:val="0"/>
          <w:numId w:val="21"/>
        </w:numPr>
        <w:ind w:left="966" w:hanging="462"/>
        <w:rPr>
          <w:color w:val="auto"/>
        </w:rPr>
      </w:pPr>
      <w:r>
        <w:rPr>
          <w:color w:val="auto"/>
        </w:rPr>
        <w:t>Deletion of £20k archivist saving from 1-4-2023 – the administration considers this saving could not be realised.</w:t>
      </w:r>
    </w:p>
    <w:p w14:paraId="24F4B879" w14:textId="77777777" w:rsidR="001B084F" w:rsidRDefault="001B084F" w:rsidP="00B25B06">
      <w:pPr>
        <w:pStyle w:val="ListParagraph"/>
        <w:numPr>
          <w:ilvl w:val="0"/>
          <w:numId w:val="21"/>
        </w:numPr>
        <w:ind w:left="966" w:hanging="462"/>
        <w:rPr>
          <w:color w:val="auto"/>
        </w:rPr>
      </w:pPr>
      <w:r>
        <w:rPr>
          <w:color w:val="auto"/>
        </w:rPr>
        <w:t>Deletion of reduction in communication team - £52k ongoing from 1-4-2025: the administration considers this would lead to unacceptable erosion of capacity in the communications team.</w:t>
      </w:r>
    </w:p>
    <w:p w14:paraId="5B55C662" w14:textId="77777777" w:rsidR="001B084F" w:rsidRDefault="001B084F" w:rsidP="00B25B06">
      <w:pPr>
        <w:pStyle w:val="ListParagraph"/>
        <w:numPr>
          <w:ilvl w:val="0"/>
          <w:numId w:val="21"/>
        </w:numPr>
        <w:ind w:left="966" w:hanging="462"/>
        <w:rPr>
          <w:color w:val="auto"/>
        </w:rPr>
      </w:pPr>
      <w:r>
        <w:rPr>
          <w:color w:val="auto"/>
        </w:rPr>
        <w:t>Deletion of savings in grants to voluntary sector organisation – Additional cost of £55k ongoing from 1-4-2025, as a result of a review of this saving proposal.</w:t>
      </w:r>
    </w:p>
    <w:p w14:paraId="04A881EF" w14:textId="77777777" w:rsidR="001B084F" w:rsidRDefault="001B084F" w:rsidP="00B25B06">
      <w:pPr>
        <w:pStyle w:val="ListParagraph"/>
        <w:numPr>
          <w:ilvl w:val="0"/>
          <w:numId w:val="21"/>
        </w:numPr>
        <w:ind w:left="966" w:hanging="462"/>
        <w:rPr>
          <w:color w:val="auto"/>
        </w:rPr>
      </w:pPr>
      <w:r>
        <w:rPr>
          <w:color w:val="auto"/>
        </w:rPr>
        <w:t xml:space="preserve">Increase in ward member budget by £500 for 1 year to £1500: from 2022/23 onwards, ward member budgets were reduced to £1000 per annum.  Given the very slight improvement in the Council’s financial </w:t>
      </w:r>
      <w:r>
        <w:rPr>
          <w:color w:val="auto"/>
        </w:rPr>
        <w:lastRenderedPageBreak/>
        <w:t>settlement, a one-off increase back to the previous level is considered affordable and is proposed.</w:t>
      </w:r>
    </w:p>
    <w:p w14:paraId="4F8D699E" w14:textId="6D4E083B" w:rsidR="001B084F" w:rsidRDefault="001B084F" w:rsidP="00B25B06">
      <w:pPr>
        <w:pStyle w:val="ListParagraph"/>
        <w:numPr>
          <w:ilvl w:val="0"/>
          <w:numId w:val="21"/>
        </w:numPr>
        <w:ind w:left="966" w:hanging="462"/>
        <w:rPr>
          <w:color w:val="auto"/>
        </w:rPr>
      </w:pPr>
      <w:r>
        <w:rPr>
          <w:color w:val="auto"/>
        </w:rPr>
        <w:t>Reinstatem</w:t>
      </w:r>
      <w:r w:rsidR="00EE67A8">
        <w:rPr>
          <w:color w:val="auto"/>
        </w:rPr>
        <w:t>ent of floodlighting at Rose Hi</w:t>
      </w:r>
      <w:r>
        <w:rPr>
          <w:color w:val="auto"/>
        </w:rPr>
        <w:t>ll recreation ground - £30k one off + £5k ongoing.  Floodlights were historically present at this well-used recreation ground but were disconnected at the time the new Community Centre was opened.  A temporary option was provided but has not worked, so it is proposed to install new floodlights.</w:t>
      </w:r>
    </w:p>
    <w:p w14:paraId="7F19AA49" w14:textId="77777777" w:rsidR="001B084F" w:rsidRPr="00B4141E" w:rsidRDefault="001B084F" w:rsidP="00B25B06">
      <w:pPr>
        <w:pStyle w:val="ListParagraph"/>
        <w:numPr>
          <w:ilvl w:val="0"/>
          <w:numId w:val="21"/>
        </w:numPr>
        <w:ind w:left="966" w:hanging="462"/>
        <w:rPr>
          <w:color w:val="auto"/>
        </w:rPr>
      </w:pPr>
      <w:r>
        <w:rPr>
          <w:color w:val="auto"/>
        </w:rPr>
        <w:t xml:space="preserve">Pavement improvements – 2 years at £75 k per annum.  The administration has taken on board concerns about the worsening state of pavements, alongside reduction in discretionary funding from Oxfordshire County Council.  The City Council will attempt to lever matched funding for this spend, to undertake repairs to pavements as part of a two-year programme. </w:t>
      </w:r>
    </w:p>
    <w:p w14:paraId="16A6B533" w14:textId="77777777" w:rsidR="00F724B1" w:rsidRPr="00E93BBC" w:rsidRDefault="00F724B1" w:rsidP="00894084">
      <w:pPr>
        <w:pStyle w:val="Heading1"/>
        <w:ind w:left="426" w:hanging="426"/>
        <w:rPr>
          <w:color w:val="auto"/>
        </w:rPr>
      </w:pPr>
      <w:r w:rsidRPr="00E93BBC">
        <w:rPr>
          <w:color w:val="auto"/>
        </w:rPr>
        <w:t>Summary of Chang</w:t>
      </w:r>
      <w:r w:rsidR="00A00E36" w:rsidRPr="00E93BBC">
        <w:rPr>
          <w:color w:val="auto"/>
        </w:rPr>
        <w:t xml:space="preserve">es to </w:t>
      </w:r>
      <w:r w:rsidR="005A6404" w:rsidRPr="00E93BBC">
        <w:rPr>
          <w:color w:val="auto"/>
        </w:rPr>
        <w:t>Medium Term Financial Strategy</w:t>
      </w:r>
      <w:r w:rsidR="0058789D" w:rsidRPr="00E93BBC">
        <w:rPr>
          <w:color w:val="auto"/>
        </w:rPr>
        <w:t xml:space="preserve"> (MTFS)</w:t>
      </w:r>
    </w:p>
    <w:p w14:paraId="1482109D" w14:textId="77777777" w:rsidR="00F50E98" w:rsidRDefault="008945C5" w:rsidP="008B4AB5">
      <w:pPr>
        <w:pStyle w:val="bParagraphtext"/>
        <w:numPr>
          <w:ilvl w:val="0"/>
          <w:numId w:val="37"/>
        </w:numPr>
        <w:tabs>
          <w:tab w:val="clear" w:pos="426"/>
          <w:tab w:val="left" w:pos="504"/>
        </w:tabs>
        <w:ind w:left="518" w:hanging="504"/>
        <w:rPr>
          <w:rStyle w:val="BulletpointsChar"/>
          <w:color w:val="auto"/>
        </w:rPr>
      </w:pPr>
      <w:r w:rsidRPr="003112C8">
        <w:rPr>
          <w:rStyle w:val="BulletpointsChar"/>
          <w:color w:val="auto"/>
        </w:rPr>
        <w:t>The Council</w:t>
      </w:r>
      <w:r w:rsidR="009134BF" w:rsidRPr="003112C8">
        <w:rPr>
          <w:rStyle w:val="BulletpointsChar"/>
          <w:color w:val="auto"/>
        </w:rPr>
        <w:t>’</w:t>
      </w:r>
      <w:r w:rsidRPr="003112C8">
        <w:rPr>
          <w:rStyle w:val="BulletpointsChar"/>
          <w:color w:val="auto"/>
        </w:rPr>
        <w:t>s General Fu</w:t>
      </w:r>
      <w:r w:rsidR="00A00E36" w:rsidRPr="003112C8">
        <w:rPr>
          <w:rStyle w:val="BulletpointsChar"/>
          <w:color w:val="auto"/>
        </w:rPr>
        <w:t xml:space="preserve">nd </w:t>
      </w:r>
      <w:r w:rsidR="0058789D" w:rsidRPr="003112C8">
        <w:rPr>
          <w:rStyle w:val="BulletpointsChar"/>
          <w:color w:val="auto"/>
        </w:rPr>
        <w:t xml:space="preserve">MTFS </w:t>
      </w:r>
      <w:r w:rsidR="00685FFE" w:rsidRPr="003112C8">
        <w:rPr>
          <w:rStyle w:val="BulletpointsChar"/>
          <w:color w:val="auto"/>
        </w:rPr>
        <w:t>is shown in Appendices 1-3</w:t>
      </w:r>
      <w:r w:rsidR="0018195F" w:rsidRPr="003112C8">
        <w:rPr>
          <w:rStyle w:val="BulletpointsChar"/>
          <w:color w:val="auto"/>
        </w:rPr>
        <w:t xml:space="preserve"> together with assumptions around fees and charges in Appendix 7</w:t>
      </w:r>
      <w:r w:rsidR="002E29C2" w:rsidRPr="003112C8">
        <w:rPr>
          <w:rStyle w:val="BulletpointsChar"/>
          <w:color w:val="auto"/>
        </w:rPr>
        <w:t>.</w:t>
      </w:r>
      <w:r w:rsidR="00685FFE" w:rsidRPr="003112C8">
        <w:rPr>
          <w:rStyle w:val="BulletpointsChar"/>
          <w:color w:val="auto"/>
        </w:rPr>
        <w:t xml:space="preserve"> </w:t>
      </w:r>
      <w:r w:rsidR="002E29C2" w:rsidRPr="003112C8">
        <w:rPr>
          <w:rStyle w:val="BulletpointsChar"/>
          <w:color w:val="auto"/>
        </w:rPr>
        <w:t>A</w:t>
      </w:r>
      <w:r w:rsidR="00685FFE" w:rsidRPr="003112C8">
        <w:rPr>
          <w:rStyle w:val="BulletpointsChar"/>
          <w:color w:val="auto"/>
        </w:rPr>
        <w:t xml:space="preserve"> </w:t>
      </w:r>
      <w:r w:rsidR="00F724B1" w:rsidRPr="003112C8">
        <w:rPr>
          <w:rStyle w:val="BulletpointsChar"/>
          <w:color w:val="auto"/>
        </w:rPr>
        <w:t xml:space="preserve">summary of the </w:t>
      </w:r>
      <w:r w:rsidR="002E29C2" w:rsidRPr="003112C8">
        <w:rPr>
          <w:rStyle w:val="BulletpointsChar"/>
          <w:color w:val="auto"/>
        </w:rPr>
        <w:t>movement in</w:t>
      </w:r>
      <w:r w:rsidR="00A00E36" w:rsidRPr="003112C8">
        <w:rPr>
          <w:rStyle w:val="BulletpointsChar"/>
          <w:color w:val="auto"/>
        </w:rPr>
        <w:t xml:space="preserve"> the </w:t>
      </w:r>
      <w:r w:rsidR="005A6404" w:rsidRPr="003112C8">
        <w:rPr>
          <w:rStyle w:val="BulletpointsChar"/>
          <w:color w:val="auto"/>
        </w:rPr>
        <w:t>Medium Term Financial Strategy</w:t>
      </w:r>
      <w:r w:rsidR="00F724B1" w:rsidRPr="003112C8">
        <w:rPr>
          <w:rStyle w:val="BulletpointsChar"/>
          <w:color w:val="auto"/>
        </w:rPr>
        <w:t xml:space="preserve"> from the Consultation Budget agreed in December 20</w:t>
      </w:r>
      <w:r w:rsidR="002B53F9" w:rsidRPr="003112C8">
        <w:rPr>
          <w:rStyle w:val="BulletpointsChar"/>
          <w:color w:val="auto"/>
        </w:rPr>
        <w:t>2</w:t>
      </w:r>
      <w:r w:rsidR="00894CA9" w:rsidRPr="003112C8">
        <w:rPr>
          <w:rStyle w:val="BulletpointsChar"/>
          <w:color w:val="auto"/>
        </w:rPr>
        <w:t>2</w:t>
      </w:r>
      <w:r w:rsidR="00F724B1" w:rsidRPr="003112C8">
        <w:rPr>
          <w:rStyle w:val="BulletpointsChar"/>
          <w:color w:val="auto"/>
        </w:rPr>
        <w:t>,</w:t>
      </w:r>
      <w:r w:rsidRPr="003112C8">
        <w:rPr>
          <w:rStyle w:val="BulletpointsChar"/>
          <w:color w:val="auto"/>
        </w:rPr>
        <w:t xml:space="preserve"> </w:t>
      </w:r>
      <w:r w:rsidR="00F724B1" w:rsidRPr="003112C8">
        <w:rPr>
          <w:rStyle w:val="BulletpointsChar"/>
          <w:color w:val="auto"/>
        </w:rPr>
        <w:t xml:space="preserve">taking account of the changes highlighted above </w:t>
      </w:r>
      <w:r w:rsidR="002E29C2" w:rsidRPr="003112C8">
        <w:rPr>
          <w:rStyle w:val="BulletpointsChar"/>
          <w:color w:val="auto"/>
        </w:rPr>
        <w:t xml:space="preserve">is </w:t>
      </w:r>
      <w:r w:rsidR="00F724B1" w:rsidRPr="003112C8">
        <w:rPr>
          <w:rStyle w:val="BulletpointsChar"/>
          <w:color w:val="auto"/>
        </w:rPr>
        <w:t xml:space="preserve">shown </w:t>
      </w:r>
      <w:r w:rsidR="00DA5C3D" w:rsidRPr="003112C8">
        <w:rPr>
          <w:rStyle w:val="BulletpointsChar"/>
          <w:color w:val="auto"/>
        </w:rPr>
        <w:t>below:</w:t>
      </w:r>
    </w:p>
    <w:p w14:paraId="19D5F9C0" w14:textId="231A2956" w:rsidR="003D5203" w:rsidRDefault="003D5203" w:rsidP="003D5203">
      <w:pPr>
        <w:pStyle w:val="bParagraphtext"/>
        <w:numPr>
          <w:ilvl w:val="0"/>
          <w:numId w:val="0"/>
        </w:numPr>
        <w:ind w:left="426"/>
        <w:rPr>
          <w:rStyle w:val="BulletpointsChar"/>
          <w:color w:val="auto"/>
        </w:rPr>
      </w:pPr>
      <w:r w:rsidRPr="003D5203">
        <w:rPr>
          <w:rStyle w:val="BulletpointsChar"/>
          <w:noProof/>
        </w:rPr>
        <w:lastRenderedPageBreak/>
        <w:drawing>
          <wp:inline distT="0" distB="0" distL="0" distR="0" wp14:anchorId="06A02E9D" wp14:editId="37E8F8DE">
            <wp:extent cx="5561965" cy="461072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1965" cy="4610729"/>
                    </a:xfrm>
                    <a:prstGeom prst="rect">
                      <a:avLst/>
                    </a:prstGeom>
                    <a:noFill/>
                    <a:ln>
                      <a:noFill/>
                    </a:ln>
                  </pic:spPr>
                </pic:pic>
              </a:graphicData>
            </a:graphic>
          </wp:inline>
        </w:drawing>
      </w:r>
    </w:p>
    <w:p w14:paraId="5CC41B85" w14:textId="7FA03403" w:rsidR="00AC440A" w:rsidRDefault="00AC440A" w:rsidP="00AC440A">
      <w:pPr>
        <w:pStyle w:val="bParagraphtext"/>
        <w:numPr>
          <w:ilvl w:val="0"/>
          <w:numId w:val="0"/>
        </w:numPr>
        <w:ind w:left="426"/>
        <w:rPr>
          <w:rStyle w:val="BulletpointsChar"/>
          <w:color w:val="auto"/>
        </w:rPr>
      </w:pPr>
    </w:p>
    <w:p w14:paraId="6A6097E7" w14:textId="77777777" w:rsidR="00087524" w:rsidRDefault="00087524" w:rsidP="00087524">
      <w:pPr>
        <w:pStyle w:val="bParagraphtext"/>
        <w:numPr>
          <w:ilvl w:val="0"/>
          <w:numId w:val="0"/>
        </w:numPr>
        <w:ind w:left="744"/>
        <w:rPr>
          <w:rStyle w:val="BulletpointsChar"/>
          <w:color w:val="auto"/>
        </w:rPr>
      </w:pPr>
    </w:p>
    <w:p w14:paraId="16B069EA" w14:textId="5291AF32" w:rsidR="000D03F5" w:rsidRPr="00E93BBC" w:rsidRDefault="008B4AB5" w:rsidP="00694B0A">
      <w:pPr>
        <w:pStyle w:val="bParagraphtext"/>
        <w:numPr>
          <w:ilvl w:val="0"/>
          <w:numId w:val="0"/>
        </w:numPr>
        <w:ind w:left="426" w:hanging="426"/>
        <w:rPr>
          <w:color w:val="auto"/>
        </w:rPr>
      </w:pPr>
      <w:r>
        <w:rPr>
          <w:rStyle w:val="BulletpointsChar"/>
          <w:color w:val="auto"/>
        </w:rPr>
        <w:t>32</w:t>
      </w:r>
      <w:r w:rsidR="00B25B06">
        <w:rPr>
          <w:rStyle w:val="BulletpointsChar"/>
          <w:color w:val="auto"/>
        </w:rPr>
        <w:t>.</w:t>
      </w:r>
      <w:r w:rsidR="00F50E98" w:rsidRPr="00E93BBC">
        <w:rPr>
          <w:rStyle w:val="BulletpointsChar"/>
          <w:color w:val="auto"/>
        </w:rPr>
        <w:tab/>
      </w:r>
      <w:r w:rsidR="000D03F5" w:rsidRPr="00E93BBC">
        <w:rPr>
          <w:color w:val="auto"/>
        </w:rPr>
        <w:t xml:space="preserve">The revised MTFP </w:t>
      </w:r>
      <w:r w:rsidR="0032164D">
        <w:rPr>
          <w:color w:val="auto"/>
        </w:rPr>
        <w:t xml:space="preserve">is now balanced over the </w:t>
      </w:r>
      <w:r w:rsidR="00DE522F" w:rsidRPr="00E93BBC">
        <w:rPr>
          <w:color w:val="auto"/>
        </w:rPr>
        <w:t xml:space="preserve">4 year period </w:t>
      </w:r>
      <w:r w:rsidR="0032164D">
        <w:rPr>
          <w:color w:val="auto"/>
        </w:rPr>
        <w:t xml:space="preserve">with a transfer from reserves of </w:t>
      </w:r>
      <w:r w:rsidR="00DE522F" w:rsidRPr="00E93BBC">
        <w:rPr>
          <w:color w:val="auto"/>
        </w:rPr>
        <w:t>£</w:t>
      </w:r>
      <w:r w:rsidR="0032164D">
        <w:rPr>
          <w:color w:val="auto"/>
        </w:rPr>
        <w:t xml:space="preserve">0.3 </w:t>
      </w:r>
      <w:r w:rsidR="00DE522F" w:rsidRPr="00E93BBC">
        <w:rPr>
          <w:color w:val="auto"/>
        </w:rPr>
        <w:t>million</w:t>
      </w:r>
      <w:r w:rsidR="0038751D">
        <w:rPr>
          <w:color w:val="auto"/>
        </w:rPr>
        <w:t>,</w:t>
      </w:r>
      <w:r w:rsidR="00DE522F" w:rsidRPr="00E93BBC">
        <w:rPr>
          <w:color w:val="auto"/>
        </w:rPr>
        <w:t xml:space="preserve"> </w:t>
      </w:r>
      <w:r w:rsidR="0032164D">
        <w:rPr>
          <w:color w:val="auto"/>
        </w:rPr>
        <w:t xml:space="preserve">a reduction of the amount assumed to be transferred from reserves in the </w:t>
      </w:r>
      <w:r w:rsidR="00DE522F" w:rsidRPr="00E93BBC">
        <w:rPr>
          <w:color w:val="auto"/>
        </w:rPr>
        <w:t xml:space="preserve">Consultation budget of £2 million.  </w:t>
      </w:r>
      <w:r w:rsidR="000D03F5" w:rsidRPr="00E93BBC">
        <w:rPr>
          <w:color w:val="auto"/>
        </w:rPr>
        <w:t xml:space="preserve">  </w:t>
      </w:r>
    </w:p>
    <w:p w14:paraId="08DBE631" w14:textId="77777777" w:rsidR="00DD42AD" w:rsidRDefault="00DD42AD" w:rsidP="00551E40">
      <w:pPr>
        <w:pStyle w:val="bParagraphtext"/>
        <w:numPr>
          <w:ilvl w:val="0"/>
          <w:numId w:val="0"/>
        </w:numPr>
        <w:rPr>
          <w:b/>
        </w:rPr>
      </w:pPr>
    </w:p>
    <w:p w14:paraId="771A9168" w14:textId="77777777" w:rsidR="00551E40" w:rsidRDefault="00DD42AD" w:rsidP="00551E40">
      <w:pPr>
        <w:pStyle w:val="bParagraphtext"/>
        <w:numPr>
          <w:ilvl w:val="0"/>
          <w:numId w:val="0"/>
        </w:numPr>
        <w:rPr>
          <w:b/>
        </w:rPr>
      </w:pPr>
      <w:r>
        <w:rPr>
          <w:b/>
        </w:rPr>
        <w:lastRenderedPageBreak/>
        <w:t>Cost of Living Crisis</w:t>
      </w:r>
      <w:r w:rsidR="00551E40">
        <w:rPr>
          <w:b/>
        </w:rPr>
        <w:t xml:space="preserve"> </w:t>
      </w:r>
    </w:p>
    <w:p w14:paraId="5149380B" w14:textId="1153B9A1" w:rsidR="00DD42AD" w:rsidRPr="00DD42AD" w:rsidRDefault="008B4AB5" w:rsidP="00DD42AD">
      <w:pPr>
        <w:pStyle w:val="NoSpacing"/>
        <w:ind w:left="360" w:hanging="360"/>
        <w:rPr>
          <w:rFonts w:eastAsia="Calibri" w:cs="Arial"/>
          <w:color w:val="auto"/>
        </w:rPr>
      </w:pPr>
      <w:r>
        <w:t>33</w:t>
      </w:r>
      <w:r w:rsidR="00B25B06">
        <w:t>.</w:t>
      </w:r>
      <w:r w:rsidR="00DD42AD">
        <w:tab/>
        <w:t xml:space="preserve"> The City Council has prepared it budget against a backdrop of   </w:t>
      </w:r>
      <w:r w:rsidR="00DD42AD" w:rsidRPr="00DD42AD">
        <w:rPr>
          <w:lang w:eastAsia="en-GB"/>
        </w:rPr>
        <w:t>unprecedented financial pressures as a result of inflation and interest rates, and the legacy impacts of the Covid-19 pandemic on some key income streams.</w:t>
      </w:r>
      <w:r w:rsidR="00DD42AD">
        <w:t xml:space="preserve"> </w:t>
      </w:r>
      <w:r w:rsidR="00EE67A8">
        <w:t>The Council still</w:t>
      </w:r>
      <w:r w:rsidR="00B25B06">
        <w:t xml:space="preserve"> continues to</w:t>
      </w:r>
      <w:r w:rsidR="00DD42AD" w:rsidRPr="00DD42AD">
        <w:rPr>
          <w:rFonts w:eastAsia="Calibri" w:cs="Arial"/>
          <w:color w:val="auto"/>
        </w:rPr>
        <w:t xml:space="preserve"> fund a wide range of services to help those on lower incomes, including:</w:t>
      </w:r>
    </w:p>
    <w:p w14:paraId="00F7E22E" w14:textId="77777777" w:rsidR="00DD42AD" w:rsidRPr="00DD42AD" w:rsidRDefault="00B07DF6" w:rsidP="00B25B06">
      <w:pPr>
        <w:numPr>
          <w:ilvl w:val="0"/>
          <w:numId w:val="22"/>
        </w:numPr>
        <w:spacing w:after="0"/>
        <w:ind w:left="854" w:hanging="462"/>
        <w:rPr>
          <w:rFonts w:eastAsia="Calibri" w:cs="Arial"/>
          <w:color w:val="auto"/>
          <w:lang w:eastAsia="en-US"/>
        </w:rPr>
      </w:pPr>
      <w:hyperlink r:id="rId12" w:history="1">
        <w:r w:rsidR="00DD42AD" w:rsidRPr="00DD42AD">
          <w:rPr>
            <w:rFonts w:eastAsia="Calibri" w:cs="Arial"/>
            <w:color w:val="auto"/>
            <w:lang w:eastAsia="en-US"/>
          </w:rPr>
          <w:t>Discounted rates at Oxford’s three leisure centres, ice rink and outdoor swimming pool</w:t>
        </w:r>
      </w:hyperlink>
    </w:p>
    <w:p w14:paraId="40ACAC91" w14:textId="77777777" w:rsidR="00DD42AD" w:rsidRPr="00DD42AD" w:rsidRDefault="00B07DF6" w:rsidP="00B25B06">
      <w:pPr>
        <w:numPr>
          <w:ilvl w:val="0"/>
          <w:numId w:val="22"/>
        </w:numPr>
        <w:spacing w:after="0"/>
        <w:ind w:left="854" w:hanging="462"/>
        <w:rPr>
          <w:rFonts w:eastAsia="Calibri" w:cs="Arial"/>
          <w:color w:val="auto"/>
          <w:lang w:eastAsia="en-US"/>
        </w:rPr>
      </w:pPr>
      <w:hyperlink r:id="rId13" w:history="1">
        <w:r w:rsidR="00DD42AD" w:rsidRPr="00DD42AD">
          <w:rPr>
            <w:rFonts w:eastAsia="Calibri" w:cs="Arial"/>
            <w:color w:val="auto"/>
            <w:lang w:eastAsia="en-US"/>
          </w:rPr>
          <w:t>Free swimming for those aged 16 and under at Oxford’s four swimming pools</w:t>
        </w:r>
      </w:hyperlink>
    </w:p>
    <w:p w14:paraId="3B6516D0" w14:textId="77777777" w:rsidR="00DD42AD" w:rsidRPr="00DD42AD" w:rsidRDefault="00B07DF6" w:rsidP="00B25B06">
      <w:pPr>
        <w:numPr>
          <w:ilvl w:val="0"/>
          <w:numId w:val="22"/>
        </w:numPr>
        <w:spacing w:after="0"/>
        <w:ind w:left="854" w:hanging="462"/>
        <w:rPr>
          <w:rFonts w:eastAsia="Calibri" w:cs="Arial"/>
          <w:color w:val="auto"/>
          <w:lang w:eastAsia="en-US"/>
        </w:rPr>
      </w:pPr>
      <w:hyperlink r:id="rId14" w:history="1">
        <w:r w:rsidR="00DD42AD" w:rsidRPr="00DD42AD">
          <w:rPr>
            <w:rFonts w:eastAsia="Calibri" w:cs="Arial"/>
            <w:color w:val="auto"/>
            <w:lang w:eastAsia="en-US"/>
          </w:rPr>
          <w:t>Free access to leisure centres for those experience homelessness</w:t>
        </w:r>
      </w:hyperlink>
    </w:p>
    <w:p w14:paraId="3028EA3A" w14:textId="77777777" w:rsidR="00DD42AD" w:rsidRPr="00DD42AD" w:rsidRDefault="00B07DF6" w:rsidP="00B25B06">
      <w:pPr>
        <w:numPr>
          <w:ilvl w:val="0"/>
          <w:numId w:val="22"/>
        </w:numPr>
        <w:spacing w:after="0"/>
        <w:ind w:left="854" w:hanging="462"/>
        <w:rPr>
          <w:rFonts w:eastAsia="Calibri" w:cs="Arial"/>
          <w:color w:val="auto"/>
          <w:lang w:eastAsia="en-US"/>
        </w:rPr>
      </w:pPr>
      <w:hyperlink r:id="rId15" w:history="1">
        <w:r w:rsidR="00DD42AD" w:rsidRPr="00DD42AD">
          <w:rPr>
            <w:rFonts w:eastAsia="Calibri" w:cs="Arial"/>
            <w:color w:val="auto"/>
            <w:lang w:eastAsia="en-US"/>
          </w:rPr>
          <w:t>Free youth clubs, sports sessions and summer activities</w:t>
        </w:r>
      </w:hyperlink>
    </w:p>
    <w:p w14:paraId="2CAE838B" w14:textId="77777777" w:rsidR="00DD42AD" w:rsidRPr="00DD42AD" w:rsidRDefault="00B07DF6" w:rsidP="00B25B06">
      <w:pPr>
        <w:numPr>
          <w:ilvl w:val="0"/>
          <w:numId w:val="22"/>
        </w:numPr>
        <w:spacing w:after="0"/>
        <w:ind w:left="854" w:hanging="462"/>
        <w:rPr>
          <w:rFonts w:eastAsia="Calibri" w:cs="Arial"/>
          <w:color w:val="auto"/>
          <w:lang w:eastAsia="en-US"/>
        </w:rPr>
      </w:pPr>
      <w:hyperlink r:id="rId16" w:history="1">
        <w:r w:rsidR="00DD42AD" w:rsidRPr="00DD42AD">
          <w:rPr>
            <w:rFonts w:eastAsia="Calibri" w:cs="Arial"/>
            <w:color w:val="auto"/>
            <w:lang w:eastAsia="en-US"/>
          </w:rPr>
          <w:t>Low-cost activities at the City Council’s 19 community centres across Oxford</w:t>
        </w:r>
      </w:hyperlink>
    </w:p>
    <w:p w14:paraId="3DF9487C" w14:textId="77777777" w:rsidR="00DD42AD" w:rsidRDefault="00B07DF6" w:rsidP="00B25B06">
      <w:pPr>
        <w:numPr>
          <w:ilvl w:val="0"/>
          <w:numId w:val="22"/>
        </w:numPr>
        <w:spacing w:after="0"/>
        <w:ind w:left="854" w:hanging="462"/>
        <w:rPr>
          <w:rFonts w:eastAsia="Calibri" w:cs="Arial"/>
          <w:color w:val="auto"/>
          <w:lang w:eastAsia="en-US"/>
        </w:rPr>
      </w:pPr>
      <w:hyperlink r:id="rId17" w:history="1">
        <w:r w:rsidR="00DD42AD" w:rsidRPr="00DD42AD">
          <w:rPr>
            <w:rFonts w:eastAsia="Calibri" w:cs="Arial"/>
            <w:color w:val="auto"/>
            <w:lang w:eastAsia="en-US"/>
          </w:rPr>
          <w:t>Free and low cost-activities – including fitness sessions for mums, older people and those with diabetes – as part of the Go Active programme</w:t>
        </w:r>
      </w:hyperlink>
    </w:p>
    <w:p w14:paraId="1F5E807C" w14:textId="3C89524A" w:rsidR="00DD42AD" w:rsidRPr="00DD42AD" w:rsidRDefault="00DD42AD" w:rsidP="00B25B06">
      <w:pPr>
        <w:numPr>
          <w:ilvl w:val="0"/>
          <w:numId w:val="22"/>
        </w:numPr>
        <w:spacing w:after="0"/>
        <w:ind w:left="854" w:hanging="462"/>
        <w:rPr>
          <w:rFonts w:eastAsia="Calibri" w:cs="Arial"/>
          <w:color w:val="auto"/>
          <w:lang w:eastAsia="en-US"/>
        </w:rPr>
      </w:pPr>
      <w:r>
        <w:rPr>
          <w:rFonts w:eastAsia="Calibri" w:cs="Arial"/>
          <w:color w:val="auto"/>
          <w:lang w:eastAsia="en-US"/>
        </w:rPr>
        <w:t>Maintaining a 100% council tax discount for those on the lowest income</w:t>
      </w:r>
      <w:r w:rsidR="00B25B06">
        <w:rPr>
          <w:rFonts w:eastAsia="Calibri" w:cs="Arial"/>
          <w:color w:val="auto"/>
          <w:lang w:eastAsia="en-US"/>
        </w:rPr>
        <w:t>.</w:t>
      </w:r>
    </w:p>
    <w:p w14:paraId="0773DACF" w14:textId="77777777" w:rsidR="00DD42AD" w:rsidRPr="00DD42AD" w:rsidRDefault="00DD42AD" w:rsidP="00DD42AD">
      <w:pPr>
        <w:spacing w:after="0"/>
        <w:rPr>
          <w:rFonts w:eastAsia="Calibri" w:cs="Arial"/>
          <w:color w:val="auto"/>
          <w:lang w:eastAsia="en-US"/>
        </w:rPr>
      </w:pPr>
    </w:p>
    <w:p w14:paraId="029DEECD" w14:textId="1F3090E4" w:rsidR="00DD42AD" w:rsidRPr="00DD42AD" w:rsidRDefault="008B4AB5" w:rsidP="00DD42AD">
      <w:pPr>
        <w:spacing w:after="0"/>
        <w:ind w:left="426" w:hanging="426"/>
        <w:rPr>
          <w:rFonts w:eastAsia="Calibri" w:cs="Arial"/>
          <w:color w:val="auto"/>
          <w:lang w:eastAsia="en-US"/>
        </w:rPr>
      </w:pPr>
      <w:r>
        <w:rPr>
          <w:rFonts w:eastAsia="Calibri" w:cs="Arial"/>
          <w:color w:val="auto"/>
          <w:lang w:eastAsia="en-US"/>
        </w:rPr>
        <w:t>34</w:t>
      </w:r>
      <w:r w:rsidR="00B25B06">
        <w:rPr>
          <w:rFonts w:eastAsia="Calibri" w:cs="Arial"/>
          <w:color w:val="auto"/>
          <w:lang w:eastAsia="en-US"/>
        </w:rPr>
        <w:t>.</w:t>
      </w:r>
      <w:r w:rsidR="00DD42AD">
        <w:rPr>
          <w:rFonts w:eastAsia="Calibri" w:cs="Arial"/>
          <w:color w:val="auto"/>
          <w:lang w:eastAsia="en-US"/>
        </w:rPr>
        <w:tab/>
      </w:r>
      <w:r w:rsidR="00DD42AD" w:rsidRPr="00DD42AD">
        <w:rPr>
          <w:rFonts w:eastAsia="Calibri" w:cs="Arial"/>
          <w:color w:val="auto"/>
          <w:lang w:eastAsia="en-US"/>
        </w:rPr>
        <w:t>The City Council provides almost half a million pounds of funding to support Oxford’s community groups and charities, including organisations that provide free and low cost activities, alongside support and advice, for those on lower incomes.</w:t>
      </w:r>
    </w:p>
    <w:p w14:paraId="7FDED967" w14:textId="77777777" w:rsidR="00DD42AD" w:rsidRPr="00DD42AD" w:rsidRDefault="00DD42AD" w:rsidP="00DD42AD">
      <w:pPr>
        <w:spacing w:after="0"/>
        <w:rPr>
          <w:rFonts w:eastAsia="Calibri" w:cs="Arial"/>
          <w:color w:val="auto"/>
          <w:lang w:eastAsia="en-US"/>
        </w:rPr>
      </w:pPr>
    </w:p>
    <w:p w14:paraId="234747B2" w14:textId="77777777" w:rsidR="00DD42AD" w:rsidRPr="00DD42AD" w:rsidRDefault="00DD42AD" w:rsidP="00DD42AD">
      <w:pPr>
        <w:pStyle w:val="bParagraphtext"/>
        <w:numPr>
          <w:ilvl w:val="0"/>
          <w:numId w:val="0"/>
        </w:numPr>
        <w:rPr>
          <w:b/>
        </w:rPr>
      </w:pPr>
      <w:r w:rsidRPr="00DD42AD">
        <w:rPr>
          <w:b/>
        </w:rPr>
        <w:t>Budget Consultation</w:t>
      </w:r>
    </w:p>
    <w:p w14:paraId="00964B37" w14:textId="61DC4A64" w:rsidR="008F2B47" w:rsidRPr="00E93BBC" w:rsidRDefault="00FD2457" w:rsidP="008B4AB5">
      <w:pPr>
        <w:pStyle w:val="bParagraphtext"/>
        <w:numPr>
          <w:ilvl w:val="4"/>
          <w:numId w:val="1"/>
        </w:numPr>
        <w:ind w:left="448" w:hanging="434"/>
      </w:pPr>
      <w:r w:rsidRPr="00E93BBC">
        <w:rPr>
          <w:rFonts w:eastAsia="Calibri"/>
        </w:rPr>
        <w:t>The consultation con</w:t>
      </w:r>
      <w:r w:rsidR="00B00E10" w:rsidRPr="00E93BBC">
        <w:rPr>
          <w:rFonts w:eastAsia="Calibri"/>
        </w:rPr>
        <w:t>c</w:t>
      </w:r>
      <w:r w:rsidR="00750D1B" w:rsidRPr="00E93BBC">
        <w:rPr>
          <w:rFonts w:eastAsia="Calibri"/>
        </w:rPr>
        <w:t xml:space="preserve">entrated on a number of key areas which are shown </w:t>
      </w:r>
      <w:r w:rsidR="002E29C2" w:rsidRPr="00E93BBC">
        <w:rPr>
          <w:rFonts w:eastAsia="Calibri"/>
        </w:rPr>
        <w:t xml:space="preserve">below. </w:t>
      </w:r>
      <w:r w:rsidR="006E6B34" w:rsidRPr="00E93BBC">
        <w:rPr>
          <w:rFonts w:eastAsia="Calibri"/>
        </w:rPr>
        <w:t xml:space="preserve">There were </w:t>
      </w:r>
      <w:r w:rsidR="005D1C69">
        <w:rPr>
          <w:rFonts w:eastAsia="Calibri"/>
        </w:rPr>
        <w:t>155</w:t>
      </w:r>
      <w:r w:rsidR="006735C9" w:rsidRPr="00E93BBC">
        <w:rPr>
          <w:rFonts w:eastAsia="Calibri"/>
        </w:rPr>
        <w:t xml:space="preserve"> </w:t>
      </w:r>
      <w:r w:rsidR="00D5221F" w:rsidRPr="00E93BBC">
        <w:rPr>
          <w:rFonts w:eastAsia="Calibri"/>
        </w:rPr>
        <w:t>r</w:t>
      </w:r>
      <w:r w:rsidR="00750D1B" w:rsidRPr="00E93BBC">
        <w:rPr>
          <w:rFonts w:eastAsia="Calibri"/>
        </w:rPr>
        <w:t>esponses received</w:t>
      </w:r>
      <w:r w:rsidR="00EE67A8">
        <w:rPr>
          <w:rFonts w:eastAsia="Calibri"/>
        </w:rPr>
        <w:t xml:space="preserve"> as at </w:t>
      </w:r>
      <w:r w:rsidR="005D1C69">
        <w:rPr>
          <w:rFonts w:eastAsia="Calibri"/>
        </w:rPr>
        <w:t>23rd</w:t>
      </w:r>
      <w:r w:rsidR="000C01D2" w:rsidRPr="00E93BBC">
        <w:rPr>
          <w:rFonts w:eastAsia="Calibri"/>
        </w:rPr>
        <w:t xml:space="preserve"> </w:t>
      </w:r>
      <w:r w:rsidR="006411EC" w:rsidRPr="00E93BBC">
        <w:rPr>
          <w:rFonts w:eastAsia="Calibri"/>
        </w:rPr>
        <w:t>January</w:t>
      </w:r>
      <w:r w:rsidR="00E83BB6" w:rsidRPr="00E93BBC">
        <w:rPr>
          <w:rFonts w:eastAsia="Calibri"/>
        </w:rPr>
        <w:t>.</w:t>
      </w:r>
      <w:r w:rsidR="00D262FA" w:rsidRPr="00E93BBC">
        <w:t xml:space="preserve"> </w:t>
      </w:r>
      <w:r w:rsidR="00CD7699" w:rsidRPr="00E93BBC">
        <w:t>Members will be updated at the meeting with any f</w:t>
      </w:r>
      <w:r w:rsidR="006411EC" w:rsidRPr="00E93BBC">
        <w:t>urther responses that are received up until the consultation closes on 31</w:t>
      </w:r>
      <w:r w:rsidR="006411EC" w:rsidRPr="00E93BBC">
        <w:rPr>
          <w:vertAlign w:val="superscript"/>
        </w:rPr>
        <w:t>st</w:t>
      </w:r>
      <w:r w:rsidR="006411EC" w:rsidRPr="00E93BBC">
        <w:t xml:space="preserve"> January. </w:t>
      </w:r>
      <w:r w:rsidR="008419BE" w:rsidRPr="00E93BBC">
        <w:t>Appendix 1</w:t>
      </w:r>
      <w:r w:rsidR="006A7BE6" w:rsidRPr="00E93BBC">
        <w:t>0</w:t>
      </w:r>
      <w:r w:rsidR="008419BE" w:rsidRPr="00E93BBC">
        <w:t xml:space="preserve"> </w:t>
      </w:r>
      <w:r w:rsidR="006411EC" w:rsidRPr="00E93BBC">
        <w:t xml:space="preserve">provides the detail of the responses </w:t>
      </w:r>
      <w:r w:rsidR="008419BE" w:rsidRPr="00E93BBC">
        <w:t>with a summary shown below fo</w:t>
      </w:r>
      <w:r w:rsidR="008F2B47" w:rsidRPr="00E93BBC">
        <w:t>r</w:t>
      </w:r>
      <w:r w:rsidR="008419BE" w:rsidRPr="00E93BBC">
        <w:t xml:space="preserve"> each of the main areas</w:t>
      </w:r>
      <w:r w:rsidR="00C15FEC" w:rsidRPr="00E93BBC">
        <w:t>:</w:t>
      </w:r>
    </w:p>
    <w:p w14:paraId="20D01E67" w14:textId="77777777" w:rsidR="00C5363C" w:rsidRPr="00E93BBC" w:rsidRDefault="00C5363C" w:rsidP="003016EB">
      <w:pPr>
        <w:pStyle w:val="Bulletpoints"/>
        <w:shd w:val="clear" w:color="auto" w:fill="FFFFFF" w:themeFill="background1"/>
        <w:tabs>
          <w:tab w:val="clear" w:pos="1134"/>
          <w:tab w:val="left" w:pos="709"/>
        </w:tabs>
        <w:ind w:left="426" w:hanging="48"/>
        <w:rPr>
          <w:b/>
          <w:color w:val="auto"/>
        </w:rPr>
      </w:pPr>
      <w:r w:rsidRPr="00E93BBC">
        <w:rPr>
          <w:b/>
          <w:color w:val="auto"/>
        </w:rPr>
        <w:lastRenderedPageBreak/>
        <w:t>Approach to Budget Setting</w:t>
      </w:r>
    </w:p>
    <w:p w14:paraId="6B2B0958" w14:textId="77777777" w:rsidR="00412B60" w:rsidRPr="00E93BBC" w:rsidRDefault="00C5363C" w:rsidP="003016EB">
      <w:pPr>
        <w:pStyle w:val="Bulletpoints"/>
        <w:numPr>
          <w:ilvl w:val="2"/>
          <w:numId w:val="1"/>
        </w:numPr>
        <w:shd w:val="clear" w:color="auto" w:fill="FFFFFF" w:themeFill="background1"/>
        <w:tabs>
          <w:tab w:val="clear" w:pos="1134"/>
          <w:tab w:val="left" w:pos="924"/>
        </w:tabs>
        <w:ind w:left="952" w:hanging="98"/>
        <w:rPr>
          <w:color w:val="auto"/>
        </w:rPr>
      </w:pPr>
      <w:r w:rsidRPr="00E93BBC">
        <w:rPr>
          <w:color w:val="auto"/>
        </w:rPr>
        <w:t xml:space="preserve">There was strong support for </w:t>
      </w:r>
      <w:r w:rsidR="006735C9" w:rsidRPr="00E93BBC">
        <w:rPr>
          <w:color w:val="auto"/>
        </w:rPr>
        <w:t>most</w:t>
      </w:r>
      <w:r w:rsidR="00E818B3" w:rsidRPr="00E93BBC">
        <w:rPr>
          <w:color w:val="auto"/>
        </w:rPr>
        <w:t xml:space="preserve"> aspects of the council</w:t>
      </w:r>
      <w:r w:rsidR="00D14FF6" w:rsidRPr="00E93BBC">
        <w:rPr>
          <w:color w:val="auto"/>
        </w:rPr>
        <w:t>’</w:t>
      </w:r>
      <w:r w:rsidR="00E818B3" w:rsidRPr="00E93BBC">
        <w:rPr>
          <w:color w:val="auto"/>
        </w:rPr>
        <w:t xml:space="preserve">s budget setting strategy with </w:t>
      </w:r>
      <w:r w:rsidRPr="00E93BBC">
        <w:rPr>
          <w:color w:val="auto"/>
        </w:rPr>
        <w:t>us</w:t>
      </w:r>
      <w:r w:rsidR="00E818B3" w:rsidRPr="00E93BBC">
        <w:rPr>
          <w:color w:val="auto"/>
        </w:rPr>
        <w:t>e</w:t>
      </w:r>
      <w:r w:rsidRPr="00E93BBC">
        <w:rPr>
          <w:color w:val="auto"/>
        </w:rPr>
        <w:t xml:space="preserve"> </w:t>
      </w:r>
      <w:r w:rsidR="00E818B3" w:rsidRPr="00E93BBC">
        <w:rPr>
          <w:color w:val="auto"/>
        </w:rPr>
        <w:t xml:space="preserve">of </w:t>
      </w:r>
      <w:r w:rsidRPr="00E93BBC">
        <w:rPr>
          <w:color w:val="auto"/>
        </w:rPr>
        <w:t xml:space="preserve">our wholly owned companies to generate external trading income </w:t>
      </w:r>
      <w:r w:rsidR="00E818B3" w:rsidRPr="00E93BBC">
        <w:rPr>
          <w:color w:val="auto"/>
        </w:rPr>
        <w:t>featuring highly</w:t>
      </w:r>
      <w:r w:rsidR="006735C9" w:rsidRPr="00E93BBC">
        <w:rPr>
          <w:color w:val="auto"/>
        </w:rPr>
        <w:t>,</w:t>
      </w:r>
      <w:r w:rsidR="00E818B3" w:rsidRPr="00E93BBC">
        <w:rPr>
          <w:color w:val="auto"/>
        </w:rPr>
        <w:t xml:space="preserve"> </w:t>
      </w:r>
      <w:r w:rsidR="00B6568D">
        <w:rPr>
          <w:color w:val="auto"/>
        </w:rPr>
        <w:t>58</w:t>
      </w:r>
      <w:r w:rsidR="006735C9" w:rsidRPr="00E93BBC">
        <w:rPr>
          <w:color w:val="auto"/>
        </w:rPr>
        <w:t xml:space="preserve">%- </w:t>
      </w:r>
      <w:r w:rsidR="00B6568D">
        <w:rPr>
          <w:color w:val="auto"/>
        </w:rPr>
        <w:t>62</w:t>
      </w:r>
      <w:r w:rsidR="006735C9" w:rsidRPr="00E93BBC">
        <w:rPr>
          <w:color w:val="auto"/>
        </w:rPr>
        <w:t>%</w:t>
      </w:r>
      <w:r w:rsidRPr="00E93BBC">
        <w:rPr>
          <w:color w:val="auto"/>
        </w:rPr>
        <w:t xml:space="preserve"> either agreeing or strongly agreeing</w:t>
      </w:r>
      <w:r w:rsidR="006735C9" w:rsidRPr="00E93BBC">
        <w:rPr>
          <w:color w:val="auto"/>
        </w:rPr>
        <w:t xml:space="preserve">. </w:t>
      </w:r>
      <w:r w:rsidRPr="00E93BBC">
        <w:rPr>
          <w:color w:val="auto"/>
        </w:rPr>
        <w:t xml:space="preserve"> </w:t>
      </w:r>
    </w:p>
    <w:p w14:paraId="6D125596" w14:textId="77777777" w:rsidR="00C5363C" w:rsidRPr="00E93BBC" w:rsidRDefault="00412B60" w:rsidP="003016EB">
      <w:pPr>
        <w:pStyle w:val="Bulletpoints"/>
        <w:numPr>
          <w:ilvl w:val="2"/>
          <w:numId w:val="1"/>
        </w:numPr>
        <w:shd w:val="clear" w:color="auto" w:fill="FFFFFF" w:themeFill="background1"/>
        <w:tabs>
          <w:tab w:val="clear" w:pos="1134"/>
          <w:tab w:val="left" w:pos="924"/>
        </w:tabs>
        <w:ind w:left="952" w:hanging="98"/>
        <w:rPr>
          <w:color w:val="auto"/>
        </w:rPr>
      </w:pPr>
      <w:r w:rsidRPr="00E93BBC">
        <w:rPr>
          <w:color w:val="auto"/>
        </w:rPr>
        <w:t>60</w:t>
      </w:r>
      <w:r w:rsidR="00E818B3" w:rsidRPr="00E93BBC">
        <w:rPr>
          <w:color w:val="auto"/>
        </w:rPr>
        <w:t xml:space="preserve">% </w:t>
      </w:r>
      <w:r w:rsidRPr="00E93BBC">
        <w:rPr>
          <w:color w:val="auto"/>
        </w:rPr>
        <w:t>of respondents agreed with the strategy to reduce office space</w:t>
      </w:r>
      <w:r w:rsidR="00EE33B2" w:rsidRPr="00E93BBC">
        <w:rPr>
          <w:color w:val="auto"/>
        </w:rPr>
        <w:t xml:space="preserve"> to save money</w:t>
      </w:r>
      <w:r w:rsidR="00E818B3" w:rsidRPr="00E93BBC">
        <w:rPr>
          <w:color w:val="auto"/>
        </w:rPr>
        <w:t>.</w:t>
      </w:r>
      <w:r w:rsidR="006735C9" w:rsidRPr="00E93BBC">
        <w:rPr>
          <w:color w:val="auto"/>
        </w:rPr>
        <w:t xml:space="preserve"> </w:t>
      </w:r>
    </w:p>
    <w:p w14:paraId="736A5134" w14:textId="77777777" w:rsidR="006735C9" w:rsidRPr="00E93BBC" w:rsidRDefault="006735C9" w:rsidP="003016EB">
      <w:pPr>
        <w:pStyle w:val="Bulletpoints"/>
        <w:numPr>
          <w:ilvl w:val="2"/>
          <w:numId w:val="1"/>
        </w:numPr>
        <w:shd w:val="clear" w:color="auto" w:fill="FFFFFF" w:themeFill="background1"/>
        <w:tabs>
          <w:tab w:val="clear" w:pos="1134"/>
          <w:tab w:val="left" w:pos="924"/>
        </w:tabs>
        <w:ind w:left="952" w:hanging="98"/>
        <w:rPr>
          <w:color w:val="auto"/>
        </w:rPr>
      </w:pPr>
      <w:r w:rsidRPr="00E93BBC">
        <w:rPr>
          <w:color w:val="auto"/>
        </w:rPr>
        <w:t xml:space="preserve">There was very strong support for charging an additional </w:t>
      </w:r>
      <w:r w:rsidR="00412B60" w:rsidRPr="00E93BBC">
        <w:rPr>
          <w:color w:val="auto"/>
        </w:rPr>
        <w:t xml:space="preserve">100% </w:t>
      </w:r>
      <w:r w:rsidRPr="00E93BBC">
        <w:rPr>
          <w:color w:val="auto"/>
        </w:rPr>
        <w:t>premium council</w:t>
      </w:r>
      <w:r w:rsidR="00412B60" w:rsidRPr="00E93BBC">
        <w:rPr>
          <w:color w:val="auto"/>
        </w:rPr>
        <w:t xml:space="preserve"> tax on second homes after 1 year – 7</w:t>
      </w:r>
      <w:r w:rsidR="00B6568D">
        <w:rPr>
          <w:color w:val="auto"/>
        </w:rPr>
        <w:t>0</w:t>
      </w:r>
      <w:r w:rsidR="00412B60" w:rsidRPr="00E93BBC">
        <w:rPr>
          <w:color w:val="auto"/>
        </w:rPr>
        <w:t xml:space="preserve">% either agreeing or strongly agreeing. </w:t>
      </w:r>
      <w:r w:rsidRPr="00E93BBC">
        <w:rPr>
          <w:color w:val="auto"/>
        </w:rPr>
        <w:t xml:space="preserve">  </w:t>
      </w:r>
    </w:p>
    <w:p w14:paraId="50BA1F84" w14:textId="77777777" w:rsidR="00412B60" w:rsidRPr="00E93BBC" w:rsidRDefault="00412B60" w:rsidP="003016EB">
      <w:pPr>
        <w:pStyle w:val="Bulletpoints"/>
        <w:numPr>
          <w:ilvl w:val="2"/>
          <w:numId w:val="1"/>
        </w:numPr>
        <w:shd w:val="clear" w:color="auto" w:fill="FFFFFF" w:themeFill="background1"/>
        <w:tabs>
          <w:tab w:val="clear" w:pos="1134"/>
          <w:tab w:val="left" w:pos="924"/>
        </w:tabs>
        <w:ind w:left="952" w:hanging="98"/>
        <w:rPr>
          <w:color w:val="auto"/>
        </w:rPr>
      </w:pPr>
      <w:r w:rsidRPr="00E93BBC">
        <w:rPr>
          <w:color w:val="auto"/>
        </w:rPr>
        <w:t xml:space="preserve">There was more support for charging the maximum permissible council tax of 2.99%, </w:t>
      </w:r>
      <w:r w:rsidR="00B6568D">
        <w:rPr>
          <w:color w:val="auto"/>
        </w:rPr>
        <w:t>39</w:t>
      </w:r>
      <w:r w:rsidRPr="00E93BBC">
        <w:rPr>
          <w:color w:val="auto"/>
        </w:rPr>
        <w:t xml:space="preserve">% compared to respondents that did not support </w:t>
      </w:r>
      <w:r w:rsidR="00B6568D">
        <w:rPr>
          <w:color w:val="auto"/>
        </w:rPr>
        <w:t>36</w:t>
      </w:r>
      <w:r w:rsidRPr="00E93BBC">
        <w:rPr>
          <w:color w:val="auto"/>
        </w:rPr>
        <w:t xml:space="preserve">%. </w:t>
      </w:r>
    </w:p>
    <w:p w14:paraId="0F57ECE3" w14:textId="77777777" w:rsidR="00C5363C" w:rsidRPr="00AF566B" w:rsidRDefault="00B6568D" w:rsidP="003016EB">
      <w:pPr>
        <w:pStyle w:val="Bulletpoints"/>
        <w:numPr>
          <w:ilvl w:val="2"/>
          <w:numId w:val="1"/>
        </w:numPr>
        <w:shd w:val="clear" w:color="auto" w:fill="FFFFFF" w:themeFill="background1"/>
        <w:tabs>
          <w:tab w:val="clear" w:pos="1134"/>
          <w:tab w:val="left" w:pos="924"/>
        </w:tabs>
        <w:ind w:left="952" w:hanging="98"/>
        <w:rPr>
          <w:color w:val="auto"/>
        </w:rPr>
      </w:pPr>
      <w:r>
        <w:rPr>
          <w:color w:val="auto"/>
        </w:rPr>
        <w:t>48</w:t>
      </w:r>
      <w:r w:rsidR="00E818B3" w:rsidRPr="00AF566B">
        <w:rPr>
          <w:color w:val="auto"/>
        </w:rPr>
        <w:t>% agree</w:t>
      </w:r>
      <w:r w:rsidR="00412B60" w:rsidRPr="00AF566B">
        <w:rPr>
          <w:color w:val="auto"/>
        </w:rPr>
        <w:t>d</w:t>
      </w:r>
      <w:r w:rsidR="00E818B3" w:rsidRPr="00AF566B">
        <w:rPr>
          <w:color w:val="auto"/>
        </w:rPr>
        <w:t xml:space="preserve"> or strongly agree </w:t>
      </w:r>
      <w:r w:rsidR="00412B60" w:rsidRPr="00AF566B">
        <w:rPr>
          <w:color w:val="auto"/>
        </w:rPr>
        <w:t>in the council continue to provide 100% council tax supp</w:t>
      </w:r>
      <w:r>
        <w:rPr>
          <w:color w:val="auto"/>
        </w:rPr>
        <w:t>ort for claimants on low income with 28% having a neutral view.</w:t>
      </w:r>
      <w:r w:rsidR="00412B60" w:rsidRPr="00AF566B">
        <w:rPr>
          <w:color w:val="auto"/>
        </w:rPr>
        <w:t xml:space="preserve"> </w:t>
      </w:r>
      <w:r w:rsidR="00C5363C" w:rsidRPr="00AF566B">
        <w:rPr>
          <w:color w:val="auto"/>
        </w:rPr>
        <w:t xml:space="preserve"> </w:t>
      </w:r>
    </w:p>
    <w:p w14:paraId="3B278374" w14:textId="78E41E4C" w:rsidR="00C5363C" w:rsidRPr="00AF566B" w:rsidRDefault="00FF748B" w:rsidP="00FF748B">
      <w:pPr>
        <w:pStyle w:val="Bulletpoints"/>
        <w:shd w:val="clear" w:color="auto" w:fill="FFFFFF" w:themeFill="background1"/>
        <w:tabs>
          <w:tab w:val="clear" w:pos="1134"/>
          <w:tab w:val="left" w:pos="709"/>
        </w:tabs>
        <w:ind w:left="1418" w:hanging="1040"/>
        <w:rPr>
          <w:b/>
          <w:color w:val="auto"/>
        </w:rPr>
      </w:pPr>
      <w:r>
        <w:rPr>
          <w:b/>
          <w:color w:val="auto"/>
        </w:rPr>
        <w:t>Alternative Approaches to Budget S</w:t>
      </w:r>
      <w:r w:rsidR="00C5363C" w:rsidRPr="00AF566B">
        <w:rPr>
          <w:b/>
          <w:color w:val="auto"/>
        </w:rPr>
        <w:t>etting</w:t>
      </w:r>
    </w:p>
    <w:p w14:paraId="75EABB73" w14:textId="77777777" w:rsidR="0022596E" w:rsidRPr="001E0309" w:rsidRDefault="0022596E" w:rsidP="00FF748B">
      <w:pPr>
        <w:pStyle w:val="Bulletpoints"/>
        <w:numPr>
          <w:ilvl w:val="2"/>
          <w:numId w:val="1"/>
        </w:numPr>
        <w:shd w:val="clear" w:color="auto" w:fill="FFFFFF" w:themeFill="background1"/>
        <w:tabs>
          <w:tab w:val="clear" w:pos="1134"/>
        </w:tabs>
        <w:ind w:left="966" w:hanging="140"/>
        <w:rPr>
          <w:color w:val="auto"/>
        </w:rPr>
      </w:pPr>
      <w:r w:rsidRPr="00AF566B">
        <w:rPr>
          <w:color w:val="auto"/>
        </w:rPr>
        <w:t xml:space="preserve">Since respondents generally agreed with our approach to budget setting the alternative responses to budget setting were not generally supported. </w:t>
      </w:r>
      <w:r w:rsidR="00EE33B2" w:rsidRPr="00AF566B">
        <w:rPr>
          <w:color w:val="auto"/>
        </w:rPr>
        <w:t>4</w:t>
      </w:r>
      <w:r w:rsidR="00B6568D">
        <w:rPr>
          <w:color w:val="auto"/>
        </w:rPr>
        <w:t>0</w:t>
      </w:r>
      <w:r w:rsidR="00EE33B2" w:rsidRPr="00AF566B">
        <w:rPr>
          <w:color w:val="auto"/>
        </w:rPr>
        <w:t>% of respondents disagreed or strongly disagreed (compared to 2</w:t>
      </w:r>
      <w:r w:rsidR="00B6568D">
        <w:rPr>
          <w:color w:val="auto"/>
        </w:rPr>
        <w:t>7</w:t>
      </w:r>
      <w:r w:rsidR="00EE33B2" w:rsidRPr="00AF566B">
        <w:rPr>
          <w:color w:val="auto"/>
        </w:rPr>
        <w:t>% that agreed) to maintain all service</w:t>
      </w:r>
      <w:r w:rsidR="001E0309">
        <w:rPr>
          <w:color w:val="auto"/>
        </w:rPr>
        <w:t>s</w:t>
      </w:r>
      <w:r w:rsidR="00EE33B2" w:rsidRPr="00AF566B">
        <w:rPr>
          <w:color w:val="auto"/>
        </w:rPr>
        <w:t xml:space="preserve"> but offer less</w:t>
      </w:r>
      <w:r w:rsidR="001E0309">
        <w:rPr>
          <w:color w:val="auto"/>
        </w:rPr>
        <w:t>.</w:t>
      </w:r>
      <w:r w:rsidR="00EE33B2" w:rsidRPr="00AF566B">
        <w:rPr>
          <w:color w:val="auto"/>
        </w:rPr>
        <w:t xml:space="preserve"> </w:t>
      </w:r>
      <w:r w:rsidR="001E0309">
        <w:rPr>
          <w:color w:val="auto"/>
        </w:rPr>
        <w:t>E</w:t>
      </w:r>
      <w:r w:rsidR="00EE33B2" w:rsidRPr="00AF566B">
        <w:rPr>
          <w:color w:val="auto"/>
        </w:rPr>
        <w:t xml:space="preserve">qually 46% of respondents either disagreed or strongly disagreed </w:t>
      </w:r>
      <w:r w:rsidR="00EE33B2" w:rsidRPr="001E0309">
        <w:rPr>
          <w:color w:val="auto"/>
        </w:rPr>
        <w:t xml:space="preserve">(compared to </w:t>
      </w:r>
      <w:r w:rsidR="00AF566B" w:rsidRPr="001E0309">
        <w:rPr>
          <w:color w:val="auto"/>
        </w:rPr>
        <w:t>3</w:t>
      </w:r>
      <w:r w:rsidR="00B6568D">
        <w:rPr>
          <w:color w:val="auto"/>
        </w:rPr>
        <w:t>2</w:t>
      </w:r>
      <w:r w:rsidR="00EE33B2" w:rsidRPr="001E0309">
        <w:rPr>
          <w:color w:val="auto"/>
        </w:rPr>
        <w:t>% that agreed) to freezing council tax and cutting front line services.</w:t>
      </w:r>
      <w:r w:rsidRPr="001E0309">
        <w:rPr>
          <w:color w:val="auto"/>
        </w:rPr>
        <w:t xml:space="preserve"> </w:t>
      </w:r>
    </w:p>
    <w:p w14:paraId="49262177" w14:textId="77777777" w:rsidR="00C5363C" w:rsidRPr="001E0309" w:rsidRDefault="00C5363C" w:rsidP="00FF748B">
      <w:pPr>
        <w:pStyle w:val="Bulletpoints"/>
        <w:numPr>
          <w:ilvl w:val="0"/>
          <w:numId w:val="6"/>
        </w:numPr>
        <w:shd w:val="clear" w:color="auto" w:fill="FFFFFF" w:themeFill="background1"/>
        <w:tabs>
          <w:tab w:val="clear" w:pos="1134"/>
        </w:tabs>
        <w:ind w:left="426" w:hanging="34"/>
        <w:rPr>
          <w:b/>
          <w:color w:val="auto"/>
        </w:rPr>
      </w:pPr>
      <w:r w:rsidRPr="001E0309">
        <w:rPr>
          <w:b/>
          <w:color w:val="auto"/>
        </w:rPr>
        <w:t>Service Priorities</w:t>
      </w:r>
    </w:p>
    <w:p w14:paraId="56DEA147" w14:textId="77777777" w:rsidR="00C0155F" w:rsidRPr="001E0309" w:rsidRDefault="00C0155F" w:rsidP="00FF748B">
      <w:pPr>
        <w:pStyle w:val="Bulletpoints"/>
        <w:numPr>
          <w:ilvl w:val="1"/>
          <w:numId w:val="6"/>
        </w:numPr>
        <w:shd w:val="clear" w:color="auto" w:fill="FFFFFF" w:themeFill="background1"/>
        <w:tabs>
          <w:tab w:val="clear" w:pos="1134"/>
          <w:tab w:val="left" w:pos="994"/>
        </w:tabs>
        <w:ind w:left="980" w:hanging="266"/>
        <w:rPr>
          <w:color w:val="auto"/>
        </w:rPr>
      </w:pPr>
      <w:r w:rsidRPr="001E0309">
        <w:rPr>
          <w:color w:val="auto"/>
        </w:rPr>
        <w:t xml:space="preserve">Highest support </w:t>
      </w:r>
      <w:r w:rsidR="009F6F8C" w:rsidRPr="001E0309">
        <w:rPr>
          <w:color w:val="auto"/>
        </w:rPr>
        <w:t>(</w:t>
      </w:r>
      <w:r w:rsidR="00B6568D">
        <w:rPr>
          <w:color w:val="auto"/>
        </w:rPr>
        <w:t>74</w:t>
      </w:r>
      <w:r w:rsidR="009F6F8C" w:rsidRPr="001E0309">
        <w:rPr>
          <w:color w:val="auto"/>
        </w:rPr>
        <w:t xml:space="preserve">% strongly agreeing or agreeing) in favour of maintaining parks and open spaces, </w:t>
      </w:r>
      <w:r w:rsidRPr="001E0309">
        <w:rPr>
          <w:color w:val="auto"/>
        </w:rPr>
        <w:t>(</w:t>
      </w:r>
      <w:r w:rsidR="00B6568D">
        <w:rPr>
          <w:color w:val="auto"/>
        </w:rPr>
        <w:t>72</w:t>
      </w:r>
      <w:r w:rsidRPr="001E0309">
        <w:rPr>
          <w:color w:val="auto"/>
        </w:rPr>
        <w:t>%) for provision of affordable housing</w:t>
      </w:r>
      <w:r w:rsidR="00E818B3" w:rsidRPr="001E0309">
        <w:rPr>
          <w:color w:val="auto"/>
        </w:rPr>
        <w:t>,</w:t>
      </w:r>
      <w:r w:rsidRPr="001E0309">
        <w:rPr>
          <w:color w:val="auto"/>
        </w:rPr>
        <w:t xml:space="preserve"> </w:t>
      </w:r>
      <w:r w:rsidR="001E0309" w:rsidRPr="001E0309">
        <w:rPr>
          <w:color w:val="auto"/>
        </w:rPr>
        <w:t>tackling homelessness (6</w:t>
      </w:r>
      <w:r w:rsidR="00B6568D">
        <w:rPr>
          <w:color w:val="auto"/>
        </w:rPr>
        <w:t>8</w:t>
      </w:r>
      <w:r w:rsidR="001E0309" w:rsidRPr="001E0309">
        <w:rPr>
          <w:color w:val="auto"/>
        </w:rPr>
        <w:t>%)</w:t>
      </w:r>
    </w:p>
    <w:p w14:paraId="35DE12D6" w14:textId="23D8E515" w:rsidR="005C227D" w:rsidRPr="00C46627" w:rsidRDefault="005C227D" w:rsidP="00FF748B">
      <w:pPr>
        <w:pStyle w:val="Bulletpoints"/>
        <w:numPr>
          <w:ilvl w:val="1"/>
          <w:numId w:val="6"/>
        </w:numPr>
        <w:shd w:val="clear" w:color="auto" w:fill="FFFFFF" w:themeFill="background1"/>
        <w:tabs>
          <w:tab w:val="left" w:pos="994"/>
        </w:tabs>
        <w:ind w:left="980" w:hanging="266"/>
        <w:rPr>
          <w:color w:val="auto"/>
        </w:rPr>
      </w:pPr>
      <w:r w:rsidRPr="001E0309">
        <w:rPr>
          <w:color w:val="auto"/>
        </w:rPr>
        <w:lastRenderedPageBreak/>
        <w:t xml:space="preserve">There was least support for </w:t>
      </w:r>
      <w:r w:rsidR="001E0309">
        <w:rPr>
          <w:color w:val="auto"/>
        </w:rPr>
        <w:t>encouraging customers to self-</w:t>
      </w:r>
      <w:r w:rsidR="009F6F8C" w:rsidRPr="001E0309">
        <w:rPr>
          <w:color w:val="auto"/>
        </w:rPr>
        <w:t>serve (</w:t>
      </w:r>
      <w:r w:rsidR="001E0309" w:rsidRPr="001E0309">
        <w:rPr>
          <w:color w:val="auto"/>
        </w:rPr>
        <w:t>4</w:t>
      </w:r>
      <w:r w:rsidR="00B6568D">
        <w:rPr>
          <w:color w:val="auto"/>
        </w:rPr>
        <w:t>7</w:t>
      </w:r>
      <w:r w:rsidR="009F6F8C" w:rsidRPr="001E0309">
        <w:rPr>
          <w:color w:val="auto"/>
        </w:rPr>
        <w:t xml:space="preserve">% strongly agreeing or agreeing) </w:t>
      </w:r>
      <w:r w:rsidR="001E0309" w:rsidRPr="001E0309">
        <w:rPr>
          <w:color w:val="auto"/>
        </w:rPr>
        <w:t xml:space="preserve">providing 100% council tax support for those on low incomes </w:t>
      </w:r>
      <w:r w:rsidR="00C13D34">
        <w:rPr>
          <w:color w:val="auto"/>
        </w:rPr>
        <w:t xml:space="preserve"> </w:t>
      </w:r>
      <w:r w:rsidR="001E0309" w:rsidRPr="001E0309">
        <w:rPr>
          <w:color w:val="auto"/>
        </w:rPr>
        <w:t>(</w:t>
      </w:r>
      <w:r w:rsidR="00B6568D">
        <w:rPr>
          <w:color w:val="auto"/>
        </w:rPr>
        <w:t>53</w:t>
      </w:r>
      <w:r w:rsidR="001E0309" w:rsidRPr="001E0309">
        <w:rPr>
          <w:color w:val="auto"/>
        </w:rPr>
        <w:t xml:space="preserve">%) </w:t>
      </w:r>
      <w:r w:rsidR="00C13D34">
        <w:rPr>
          <w:color w:val="auto"/>
        </w:rPr>
        <w:t>city centre enhancements (43%)</w:t>
      </w:r>
      <w:r w:rsidR="00FF748B">
        <w:rPr>
          <w:color w:val="auto"/>
        </w:rPr>
        <w:t xml:space="preserve"> </w:t>
      </w:r>
      <w:r w:rsidR="009F6F8C" w:rsidRPr="001E0309">
        <w:rPr>
          <w:color w:val="auto"/>
        </w:rPr>
        <w:t xml:space="preserve">and providing grants to </w:t>
      </w:r>
      <w:r w:rsidR="009F6F8C" w:rsidRPr="00C46627">
        <w:rPr>
          <w:color w:val="auto"/>
        </w:rPr>
        <w:t>voluntary and community groups (</w:t>
      </w:r>
      <w:r w:rsidR="001E0309" w:rsidRPr="00C46627">
        <w:rPr>
          <w:color w:val="auto"/>
        </w:rPr>
        <w:t>3</w:t>
      </w:r>
      <w:r w:rsidR="00B6568D">
        <w:rPr>
          <w:color w:val="auto"/>
        </w:rPr>
        <w:t>8</w:t>
      </w:r>
      <w:r w:rsidR="009F6F8C" w:rsidRPr="00C46627">
        <w:rPr>
          <w:color w:val="auto"/>
        </w:rPr>
        <w:t>%)</w:t>
      </w:r>
      <w:r w:rsidR="00FF748B">
        <w:rPr>
          <w:color w:val="auto"/>
        </w:rPr>
        <w:t>.</w:t>
      </w:r>
    </w:p>
    <w:p w14:paraId="238560C1" w14:textId="77777777" w:rsidR="00C5363C" w:rsidRPr="00C46627" w:rsidRDefault="00C5363C" w:rsidP="00FF748B">
      <w:pPr>
        <w:pStyle w:val="Bulletpoints"/>
        <w:shd w:val="clear" w:color="auto" w:fill="FFFFFF" w:themeFill="background1"/>
        <w:tabs>
          <w:tab w:val="clear" w:pos="1134"/>
          <w:tab w:val="left" w:pos="728"/>
        </w:tabs>
        <w:ind w:left="426" w:hanging="6"/>
        <w:rPr>
          <w:b/>
          <w:color w:val="auto"/>
        </w:rPr>
      </w:pPr>
      <w:r w:rsidRPr="00C46627">
        <w:rPr>
          <w:b/>
          <w:color w:val="auto"/>
        </w:rPr>
        <w:t>Capital Investment</w:t>
      </w:r>
    </w:p>
    <w:p w14:paraId="4EDD8AC1" w14:textId="5E563CAE" w:rsidR="005C227D" w:rsidRPr="00C46627" w:rsidRDefault="005C227D" w:rsidP="00FF748B">
      <w:pPr>
        <w:pStyle w:val="Bulletpoints"/>
        <w:numPr>
          <w:ilvl w:val="2"/>
          <w:numId w:val="1"/>
        </w:numPr>
        <w:shd w:val="clear" w:color="auto" w:fill="FFFFFF" w:themeFill="background1"/>
        <w:ind w:left="994" w:hanging="126"/>
        <w:rPr>
          <w:color w:val="auto"/>
        </w:rPr>
      </w:pPr>
      <w:r w:rsidRPr="00C46627">
        <w:rPr>
          <w:color w:val="auto"/>
        </w:rPr>
        <w:t xml:space="preserve">Highest support </w:t>
      </w:r>
      <w:r w:rsidR="00C13D34">
        <w:rPr>
          <w:color w:val="auto"/>
        </w:rPr>
        <w:t xml:space="preserve">for investment in social housing </w:t>
      </w:r>
      <w:r w:rsidR="0031633E" w:rsidRPr="00C46627">
        <w:rPr>
          <w:color w:val="auto"/>
        </w:rPr>
        <w:t>(</w:t>
      </w:r>
      <w:r w:rsidR="006B42F8" w:rsidRPr="00C46627">
        <w:rPr>
          <w:color w:val="auto"/>
        </w:rPr>
        <w:t>6</w:t>
      </w:r>
      <w:r w:rsidR="00C13D34">
        <w:rPr>
          <w:color w:val="auto"/>
        </w:rPr>
        <w:t>6</w:t>
      </w:r>
      <w:r w:rsidR="0031633E" w:rsidRPr="00C46627">
        <w:rPr>
          <w:color w:val="auto"/>
        </w:rPr>
        <w:t xml:space="preserve">% strongly agreeing or agreeing) </w:t>
      </w:r>
      <w:r w:rsidR="00C13D34">
        <w:rPr>
          <w:color w:val="auto"/>
        </w:rPr>
        <w:t xml:space="preserve">and </w:t>
      </w:r>
      <w:r w:rsidR="0031633E" w:rsidRPr="00C46627">
        <w:rPr>
          <w:color w:val="auto"/>
        </w:rPr>
        <w:t xml:space="preserve">for investment in council house improvements </w:t>
      </w:r>
      <w:r w:rsidR="00C13D34">
        <w:rPr>
          <w:color w:val="auto"/>
        </w:rPr>
        <w:t>and council estates (65%)</w:t>
      </w:r>
      <w:r w:rsidR="001E0309" w:rsidRPr="00C46627">
        <w:rPr>
          <w:color w:val="auto"/>
        </w:rPr>
        <w:t xml:space="preserve"> </w:t>
      </w:r>
      <w:r w:rsidR="0031633E" w:rsidRPr="00C46627">
        <w:rPr>
          <w:color w:val="auto"/>
        </w:rPr>
        <w:t xml:space="preserve"> </w:t>
      </w:r>
    </w:p>
    <w:p w14:paraId="2420E243" w14:textId="77777777" w:rsidR="00977030" w:rsidRPr="00977030" w:rsidRDefault="0031633E" w:rsidP="00FF748B">
      <w:pPr>
        <w:pStyle w:val="Bulletpoints"/>
        <w:numPr>
          <w:ilvl w:val="2"/>
          <w:numId w:val="1"/>
        </w:numPr>
        <w:shd w:val="clear" w:color="auto" w:fill="FFFFFF" w:themeFill="background1"/>
        <w:ind w:left="994" w:hanging="126"/>
        <w:rPr>
          <w:color w:val="auto"/>
        </w:rPr>
      </w:pPr>
      <w:r w:rsidRPr="00C46627">
        <w:rPr>
          <w:color w:val="auto"/>
        </w:rPr>
        <w:t xml:space="preserve">Least support </w:t>
      </w:r>
      <w:r w:rsidR="00071EA0" w:rsidRPr="00C46627">
        <w:rPr>
          <w:color w:val="auto"/>
        </w:rPr>
        <w:t xml:space="preserve">was given for </w:t>
      </w:r>
      <w:r w:rsidR="006B42F8" w:rsidRPr="00C46627">
        <w:rPr>
          <w:color w:val="auto"/>
        </w:rPr>
        <w:t xml:space="preserve">investment in </w:t>
      </w:r>
      <w:r w:rsidR="001E0309" w:rsidRPr="00C46627">
        <w:rPr>
          <w:color w:val="auto"/>
        </w:rPr>
        <w:t xml:space="preserve">Cave Street </w:t>
      </w:r>
      <w:r w:rsidR="006B42F8" w:rsidRPr="00C46627">
        <w:rPr>
          <w:color w:val="auto"/>
        </w:rPr>
        <w:t>(</w:t>
      </w:r>
      <w:r w:rsidR="00C13D34">
        <w:rPr>
          <w:color w:val="auto"/>
        </w:rPr>
        <w:t>44</w:t>
      </w:r>
      <w:r w:rsidR="006B42F8" w:rsidRPr="00C46627">
        <w:rPr>
          <w:color w:val="auto"/>
        </w:rPr>
        <w:t>%)</w:t>
      </w:r>
      <w:r w:rsidR="00C13D34">
        <w:rPr>
          <w:color w:val="auto"/>
        </w:rPr>
        <w:t xml:space="preserve"> although 41</w:t>
      </w:r>
      <w:r w:rsidR="00C46627" w:rsidRPr="00C46627">
        <w:rPr>
          <w:color w:val="auto"/>
        </w:rPr>
        <w:t>% of respondents were neutral on this issue.</w:t>
      </w:r>
      <w:r w:rsidR="006B42F8" w:rsidRPr="00C46627">
        <w:rPr>
          <w:color w:val="auto"/>
        </w:rPr>
        <w:t xml:space="preserve"> </w:t>
      </w:r>
      <w:r w:rsidR="00977030" w:rsidRPr="00977030">
        <w:rPr>
          <w:color w:val="auto"/>
        </w:rPr>
        <w:t>It should be noted that Cave Street is a project to deliver a financial return, as well as a benefit to the local economy.</w:t>
      </w:r>
    </w:p>
    <w:p w14:paraId="1C94D725" w14:textId="77777777" w:rsidR="00C5363C" w:rsidRPr="00C46627" w:rsidRDefault="00C5363C" w:rsidP="00884DD7">
      <w:pPr>
        <w:pStyle w:val="Bulletpoints"/>
        <w:numPr>
          <w:ilvl w:val="0"/>
          <w:numId w:val="6"/>
        </w:numPr>
        <w:shd w:val="clear" w:color="auto" w:fill="FFFFFF" w:themeFill="background1"/>
        <w:tabs>
          <w:tab w:val="clear" w:pos="1134"/>
          <w:tab w:val="left" w:pos="709"/>
        </w:tabs>
        <w:ind w:hanging="646"/>
        <w:rPr>
          <w:b/>
          <w:color w:val="auto"/>
        </w:rPr>
      </w:pPr>
      <w:r w:rsidRPr="00C46627">
        <w:rPr>
          <w:b/>
          <w:color w:val="auto"/>
        </w:rPr>
        <w:t>Council Housing</w:t>
      </w:r>
    </w:p>
    <w:p w14:paraId="150E5FC4" w14:textId="77777777" w:rsidR="00120E99" w:rsidRPr="00C46627" w:rsidRDefault="00120E99" w:rsidP="00884DD7">
      <w:pPr>
        <w:pStyle w:val="Bulletpoints"/>
        <w:numPr>
          <w:ilvl w:val="0"/>
          <w:numId w:val="0"/>
        </w:numPr>
        <w:shd w:val="clear" w:color="auto" w:fill="FFFFFF" w:themeFill="background1"/>
        <w:ind w:left="742"/>
        <w:rPr>
          <w:color w:val="auto"/>
        </w:rPr>
      </w:pPr>
      <w:r w:rsidRPr="00C46627">
        <w:rPr>
          <w:color w:val="auto"/>
        </w:rPr>
        <w:t>Highest support (</w:t>
      </w:r>
      <w:r w:rsidR="00C13D34">
        <w:rPr>
          <w:color w:val="auto"/>
        </w:rPr>
        <w:t>53</w:t>
      </w:r>
      <w:r w:rsidR="009F6F8C" w:rsidRPr="00C46627">
        <w:rPr>
          <w:color w:val="auto"/>
        </w:rPr>
        <w:t>%</w:t>
      </w:r>
      <w:r w:rsidRPr="00C46627">
        <w:rPr>
          <w:color w:val="auto"/>
        </w:rPr>
        <w:t>) was given to</w:t>
      </w:r>
      <w:r w:rsidR="005D7D00" w:rsidRPr="00C46627">
        <w:rPr>
          <w:color w:val="auto"/>
        </w:rPr>
        <w:t xml:space="preserve"> </w:t>
      </w:r>
      <w:r w:rsidR="00C13D34">
        <w:rPr>
          <w:color w:val="auto"/>
        </w:rPr>
        <w:t xml:space="preserve">maintaining the quality of existing homes and (51%) </w:t>
      </w:r>
      <w:r w:rsidR="005D7D00" w:rsidRPr="00C46627">
        <w:rPr>
          <w:color w:val="auto"/>
        </w:rPr>
        <w:t xml:space="preserve">building new social housing </w:t>
      </w:r>
      <w:r w:rsidR="00C13D34">
        <w:rPr>
          <w:color w:val="auto"/>
        </w:rPr>
        <w:t>with l</w:t>
      </w:r>
      <w:r w:rsidRPr="00C46627">
        <w:rPr>
          <w:color w:val="auto"/>
        </w:rPr>
        <w:t xml:space="preserve">east support given to </w:t>
      </w:r>
      <w:r w:rsidR="009F6F8C" w:rsidRPr="00C46627">
        <w:rPr>
          <w:color w:val="auto"/>
        </w:rPr>
        <w:t>improving the look</w:t>
      </w:r>
      <w:r w:rsidR="00AB63F3" w:rsidRPr="00C46627">
        <w:rPr>
          <w:color w:val="auto"/>
        </w:rPr>
        <w:t xml:space="preserve"> and feel of council estates (</w:t>
      </w:r>
      <w:r w:rsidR="00C13D34">
        <w:rPr>
          <w:color w:val="auto"/>
        </w:rPr>
        <w:t>1</w:t>
      </w:r>
      <w:r w:rsidR="00C46627" w:rsidRPr="00C46627">
        <w:rPr>
          <w:color w:val="auto"/>
        </w:rPr>
        <w:t>9</w:t>
      </w:r>
      <w:r w:rsidR="009F6F8C" w:rsidRPr="00C46627">
        <w:rPr>
          <w:color w:val="auto"/>
        </w:rPr>
        <w:t xml:space="preserve">%) and </w:t>
      </w:r>
      <w:r w:rsidRPr="00C46627">
        <w:rPr>
          <w:color w:val="auto"/>
        </w:rPr>
        <w:t xml:space="preserve">targeted estate regeneration such as Blackbird Leys </w:t>
      </w:r>
      <w:r w:rsidR="009F6F8C" w:rsidRPr="00C46627">
        <w:rPr>
          <w:color w:val="auto"/>
        </w:rPr>
        <w:t xml:space="preserve">and Barton </w:t>
      </w:r>
      <w:r w:rsidRPr="00C46627">
        <w:rPr>
          <w:color w:val="auto"/>
        </w:rPr>
        <w:t>(</w:t>
      </w:r>
      <w:r w:rsidR="00C13D34">
        <w:rPr>
          <w:color w:val="auto"/>
        </w:rPr>
        <w:t>21</w:t>
      </w:r>
      <w:r w:rsidRPr="00C46627">
        <w:rPr>
          <w:color w:val="auto"/>
        </w:rPr>
        <w:t>%)</w:t>
      </w:r>
      <w:r w:rsidR="009F6F8C" w:rsidRPr="00C46627">
        <w:rPr>
          <w:color w:val="auto"/>
        </w:rPr>
        <w:t xml:space="preserve"> although it</w:t>
      </w:r>
      <w:r w:rsidR="00C13D34">
        <w:rPr>
          <w:color w:val="auto"/>
        </w:rPr>
        <w:t xml:space="preserve"> should be noted that only 6</w:t>
      </w:r>
      <w:r w:rsidR="009F6F8C" w:rsidRPr="00C46627">
        <w:rPr>
          <w:color w:val="auto"/>
        </w:rPr>
        <w:t xml:space="preserve"> respondents were council tenants.</w:t>
      </w:r>
    </w:p>
    <w:p w14:paraId="637C93F4" w14:textId="77777777" w:rsidR="00C5363C" w:rsidRPr="00C46627" w:rsidRDefault="00C5363C" w:rsidP="00884DD7">
      <w:pPr>
        <w:pStyle w:val="Bulletpoints"/>
        <w:shd w:val="clear" w:color="auto" w:fill="FFFFFF" w:themeFill="background1"/>
        <w:tabs>
          <w:tab w:val="clear" w:pos="1134"/>
          <w:tab w:val="left" w:pos="709"/>
        </w:tabs>
        <w:ind w:left="426" w:firstLine="8"/>
        <w:rPr>
          <w:b/>
          <w:color w:val="auto"/>
        </w:rPr>
      </w:pPr>
      <w:r w:rsidRPr="00C46627">
        <w:rPr>
          <w:b/>
          <w:color w:val="auto"/>
        </w:rPr>
        <w:t>Use of neighbourhood CIL</w:t>
      </w:r>
    </w:p>
    <w:p w14:paraId="3D44E8DC" w14:textId="77777777" w:rsidR="00AB31D1" w:rsidRDefault="00C13D34" w:rsidP="00884DD7">
      <w:pPr>
        <w:pStyle w:val="Bulletpoints"/>
        <w:numPr>
          <w:ilvl w:val="2"/>
          <w:numId w:val="1"/>
        </w:numPr>
        <w:shd w:val="clear" w:color="auto" w:fill="FFFFFF" w:themeFill="background1"/>
        <w:ind w:left="1008" w:hanging="154"/>
        <w:rPr>
          <w:color w:val="auto"/>
        </w:rPr>
      </w:pPr>
      <w:r>
        <w:rPr>
          <w:color w:val="auto"/>
        </w:rPr>
        <w:t>29</w:t>
      </w:r>
      <w:r w:rsidR="00781AD2" w:rsidRPr="001C2061">
        <w:rPr>
          <w:color w:val="auto"/>
        </w:rPr>
        <w:t xml:space="preserve">% of respondents either agreed or strongly agreed with how the council makes use of neighbourhood CIL, with </w:t>
      </w:r>
      <w:r>
        <w:rPr>
          <w:color w:val="auto"/>
        </w:rPr>
        <w:t>45</w:t>
      </w:r>
      <w:r w:rsidR="00781AD2" w:rsidRPr="001C2061">
        <w:rPr>
          <w:color w:val="auto"/>
        </w:rPr>
        <w:t xml:space="preserve">% disagreeing or strongly disagreeing, </w:t>
      </w:r>
      <w:r w:rsidR="00C46627" w:rsidRPr="001C2061">
        <w:rPr>
          <w:color w:val="auto"/>
        </w:rPr>
        <w:t>2</w:t>
      </w:r>
      <w:r>
        <w:rPr>
          <w:color w:val="auto"/>
        </w:rPr>
        <w:t>6</w:t>
      </w:r>
      <w:r w:rsidR="00781AD2" w:rsidRPr="001C2061">
        <w:rPr>
          <w:color w:val="auto"/>
        </w:rPr>
        <w:t xml:space="preserve">% neutral and the balance not answering the question. </w:t>
      </w:r>
    </w:p>
    <w:p w14:paraId="17A60502" w14:textId="77777777" w:rsidR="0070539C" w:rsidRPr="001C2061" w:rsidRDefault="0070539C" w:rsidP="00894084">
      <w:pPr>
        <w:pStyle w:val="Heading1"/>
        <w:ind w:left="426" w:hanging="426"/>
      </w:pPr>
      <w:r w:rsidRPr="001C2061">
        <w:t>General Comments</w:t>
      </w:r>
    </w:p>
    <w:p w14:paraId="571AE355" w14:textId="7635ED5D" w:rsidR="0070539C" w:rsidRPr="001C2061" w:rsidRDefault="008B4AB5" w:rsidP="00894084">
      <w:pPr>
        <w:ind w:left="426" w:hanging="426"/>
      </w:pPr>
      <w:r>
        <w:t>36</w:t>
      </w:r>
      <w:r w:rsidR="00884DD7">
        <w:t>.</w:t>
      </w:r>
      <w:r w:rsidR="00DC7D89" w:rsidRPr="001C2061">
        <w:tab/>
      </w:r>
      <w:r w:rsidR="0070539C" w:rsidRPr="001C2061">
        <w:t>A number of general comments were made by respondents with the main th</w:t>
      </w:r>
      <w:r w:rsidR="00884DD7">
        <w:t>emes including</w:t>
      </w:r>
      <w:r w:rsidR="0070539C" w:rsidRPr="001C2061">
        <w:t>:</w:t>
      </w:r>
    </w:p>
    <w:p w14:paraId="3D902A44" w14:textId="77777777" w:rsidR="0070539C" w:rsidRPr="001C2061" w:rsidRDefault="0070539C" w:rsidP="00894084">
      <w:pPr>
        <w:ind w:left="426" w:hanging="426"/>
      </w:pPr>
    </w:p>
    <w:p w14:paraId="5EB24C3E" w14:textId="77777777" w:rsidR="00781AD2" w:rsidRPr="001C2061" w:rsidRDefault="00182F0A" w:rsidP="00884DD7">
      <w:pPr>
        <w:pStyle w:val="ListParagraph"/>
        <w:numPr>
          <w:ilvl w:val="0"/>
          <w:numId w:val="6"/>
        </w:numPr>
        <w:ind w:left="868" w:hanging="392"/>
      </w:pPr>
      <w:r w:rsidRPr="001C2061">
        <w:lastRenderedPageBreak/>
        <w:t>Stop cutting back verges and help wildlife diversity- multiple times</w:t>
      </w:r>
    </w:p>
    <w:p w14:paraId="7923C2AF" w14:textId="77777777" w:rsidR="00182F0A" w:rsidRPr="001C2061" w:rsidRDefault="00182F0A" w:rsidP="00884DD7">
      <w:pPr>
        <w:pStyle w:val="ListParagraph"/>
        <w:numPr>
          <w:ilvl w:val="0"/>
          <w:numId w:val="6"/>
        </w:numPr>
        <w:ind w:left="868" w:hanging="392"/>
      </w:pPr>
      <w:r w:rsidRPr="001C2061">
        <w:t>Why don’t ODS offer a service to leaseholders</w:t>
      </w:r>
      <w:r w:rsidR="00977030">
        <w:t>?</w:t>
      </w:r>
    </w:p>
    <w:p w14:paraId="6BF09D72" w14:textId="77777777" w:rsidR="00182F0A" w:rsidRPr="001C2061" w:rsidRDefault="00182F0A" w:rsidP="00884DD7">
      <w:pPr>
        <w:pStyle w:val="ListParagraph"/>
        <w:numPr>
          <w:ilvl w:val="0"/>
          <w:numId w:val="6"/>
        </w:numPr>
        <w:ind w:left="868" w:hanging="392"/>
      </w:pPr>
      <w:r w:rsidRPr="001C2061">
        <w:t>Provide support for charitable providers</w:t>
      </w:r>
    </w:p>
    <w:p w14:paraId="08D51195" w14:textId="77777777" w:rsidR="00182F0A" w:rsidRPr="001C2061" w:rsidRDefault="00182F0A" w:rsidP="00884DD7">
      <w:pPr>
        <w:pStyle w:val="ListParagraph"/>
        <w:numPr>
          <w:ilvl w:val="0"/>
          <w:numId w:val="6"/>
        </w:numPr>
        <w:ind w:left="868" w:hanging="392"/>
      </w:pPr>
      <w:r w:rsidRPr="001C2061">
        <w:t>Engage with County about travel in the city</w:t>
      </w:r>
    </w:p>
    <w:p w14:paraId="71103BA5" w14:textId="77777777" w:rsidR="00182F0A" w:rsidRPr="001C2061" w:rsidRDefault="00182F0A" w:rsidP="00884DD7">
      <w:pPr>
        <w:pStyle w:val="ListParagraph"/>
        <w:numPr>
          <w:ilvl w:val="0"/>
          <w:numId w:val="6"/>
        </w:numPr>
        <w:ind w:left="868" w:hanging="392"/>
      </w:pPr>
      <w:r w:rsidRPr="001C2061">
        <w:t>Increase car parking charges by more than 10% to resolve congestion</w:t>
      </w:r>
      <w:r w:rsidR="001C2061" w:rsidRPr="001C2061">
        <w:t>- multiple times</w:t>
      </w:r>
    </w:p>
    <w:p w14:paraId="16CD23D4" w14:textId="77777777" w:rsidR="00182F0A" w:rsidRPr="00A963E5" w:rsidRDefault="00182F0A" w:rsidP="00884DD7">
      <w:pPr>
        <w:pStyle w:val="ListParagraph"/>
        <w:numPr>
          <w:ilvl w:val="0"/>
          <w:numId w:val="6"/>
        </w:numPr>
        <w:ind w:left="868" w:hanging="392"/>
      </w:pPr>
      <w:r w:rsidRPr="00A963E5">
        <w:t>Suspend L</w:t>
      </w:r>
      <w:r w:rsidR="00C13D34">
        <w:t xml:space="preserve">ow </w:t>
      </w:r>
      <w:r w:rsidRPr="00A963E5">
        <w:t>T</w:t>
      </w:r>
      <w:r w:rsidR="00C13D34">
        <w:t xml:space="preserve">raffic </w:t>
      </w:r>
      <w:r w:rsidRPr="00A963E5">
        <w:t>N</w:t>
      </w:r>
      <w:r w:rsidR="00C13D34">
        <w:t xml:space="preserve">eighbourhoods </w:t>
      </w:r>
      <w:r w:rsidRPr="00A963E5">
        <w:t>and bus gates</w:t>
      </w:r>
      <w:r w:rsidR="001C2061" w:rsidRPr="00A963E5">
        <w:t xml:space="preserve"> – multiple times</w:t>
      </w:r>
    </w:p>
    <w:p w14:paraId="56E42B4B" w14:textId="03009737" w:rsidR="00182F0A" w:rsidRPr="00A963E5" w:rsidRDefault="00182F0A" w:rsidP="00884DD7">
      <w:pPr>
        <w:pStyle w:val="ListParagraph"/>
        <w:numPr>
          <w:ilvl w:val="0"/>
          <w:numId w:val="6"/>
        </w:numPr>
        <w:ind w:left="868" w:hanging="392"/>
      </w:pPr>
      <w:r w:rsidRPr="00A963E5">
        <w:t>Maintain parks and street services</w:t>
      </w:r>
      <w:r w:rsidR="00884DD7">
        <w:t>.</w:t>
      </w:r>
    </w:p>
    <w:p w14:paraId="0A5DCDB1" w14:textId="77777777" w:rsidR="007F7CAA" w:rsidRPr="007F7CAA" w:rsidRDefault="007F7CAA" w:rsidP="007F7CAA"/>
    <w:p w14:paraId="4BA8B2ED" w14:textId="77777777" w:rsidR="00BA202E" w:rsidRPr="00A963E5" w:rsidRDefault="00BA202E" w:rsidP="00894084">
      <w:pPr>
        <w:pStyle w:val="Heading1"/>
        <w:ind w:left="426" w:hanging="426"/>
      </w:pPr>
      <w:r w:rsidRPr="00A963E5">
        <w:t>Risk Implications</w:t>
      </w:r>
    </w:p>
    <w:p w14:paraId="21E50DB5" w14:textId="77777777" w:rsidR="00251920" w:rsidRPr="00A963E5" w:rsidRDefault="00251920" w:rsidP="00135ABC">
      <w:pPr>
        <w:pStyle w:val="ListParagraph"/>
        <w:numPr>
          <w:ilvl w:val="0"/>
          <w:numId w:val="38"/>
        </w:numPr>
        <w:tabs>
          <w:tab w:val="clear" w:pos="426"/>
        </w:tabs>
        <w:spacing w:after="0"/>
        <w:ind w:left="476" w:right="386" w:hanging="476"/>
        <w:rPr>
          <w:color w:val="000000" w:themeColor="text1"/>
          <w:sz w:val="22"/>
          <w:szCs w:val="22"/>
        </w:rPr>
      </w:pPr>
      <w:r w:rsidRPr="00A963E5">
        <w:rPr>
          <w:color w:val="000000" w:themeColor="text1"/>
        </w:rPr>
        <w:t>The main risks to the balanced position of the General Fund consultation budget (Appendix 8) are that:</w:t>
      </w:r>
    </w:p>
    <w:p w14:paraId="6B4BA9E6" w14:textId="77777777" w:rsidR="00A963E5" w:rsidRPr="00A963E5" w:rsidRDefault="00A963E5" w:rsidP="00A963E5">
      <w:pPr>
        <w:pStyle w:val="ListParagraph"/>
        <w:numPr>
          <w:ilvl w:val="0"/>
          <w:numId w:val="0"/>
        </w:numPr>
        <w:tabs>
          <w:tab w:val="clear" w:pos="426"/>
        </w:tabs>
        <w:spacing w:after="0"/>
        <w:ind w:left="360" w:right="386"/>
        <w:rPr>
          <w:color w:val="000000" w:themeColor="text1"/>
        </w:rPr>
      </w:pPr>
    </w:p>
    <w:p w14:paraId="50C1D1E4" w14:textId="77777777" w:rsidR="00A963E5" w:rsidRPr="00A963E5" w:rsidRDefault="00A963E5" w:rsidP="00720ABB">
      <w:pPr>
        <w:numPr>
          <w:ilvl w:val="0"/>
          <w:numId w:val="13"/>
        </w:numPr>
        <w:tabs>
          <w:tab w:val="clear" w:pos="1080"/>
          <w:tab w:val="num" w:pos="840"/>
        </w:tabs>
        <w:spacing w:after="0"/>
        <w:ind w:left="812" w:right="386" w:hanging="420"/>
        <w:rPr>
          <w:color w:val="000000" w:themeColor="text1"/>
          <w:szCs w:val="22"/>
          <w:lang w:eastAsia="en-US"/>
        </w:rPr>
      </w:pPr>
      <w:r w:rsidRPr="00A963E5">
        <w:rPr>
          <w:color w:val="000000" w:themeColor="text1"/>
          <w:szCs w:val="22"/>
          <w:lang w:eastAsia="en-US"/>
        </w:rPr>
        <w:t>Savings from efficiencies and transformation not achieved</w:t>
      </w:r>
    </w:p>
    <w:p w14:paraId="369E030D" w14:textId="77777777" w:rsidR="00A963E5" w:rsidRPr="00A963E5" w:rsidRDefault="00A963E5" w:rsidP="00720ABB">
      <w:pPr>
        <w:numPr>
          <w:ilvl w:val="0"/>
          <w:numId w:val="13"/>
        </w:numPr>
        <w:tabs>
          <w:tab w:val="clear" w:pos="1080"/>
          <w:tab w:val="num" w:pos="840"/>
        </w:tabs>
        <w:spacing w:after="0"/>
        <w:ind w:left="812" w:right="386" w:hanging="420"/>
        <w:rPr>
          <w:color w:val="000000" w:themeColor="text1"/>
          <w:szCs w:val="22"/>
          <w:lang w:eastAsia="en-US"/>
        </w:rPr>
      </w:pPr>
      <w:r w:rsidRPr="00A963E5">
        <w:rPr>
          <w:color w:val="000000" w:themeColor="text1"/>
          <w:szCs w:val="22"/>
          <w:lang w:eastAsia="en-US"/>
        </w:rPr>
        <w:t>Council income streams continue to be affected by the pandemic beyond the provisions already made in the MTFS</w:t>
      </w:r>
    </w:p>
    <w:p w14:paraId="66E7E0CA" w14:textId="77777777" w:rsidR="00A963E5" w:rsidRPr="00A963E5" w:rsidRDefault="00A963E5" w:rsidP="00720ABB">
      <w:pPr>
        <w:numPr>
          <w:ilvl w:val="0"/>
          <w:numId w:val="13"/>
        </w:numPr>
        <w:tabs>
          <w:tab w:val="clear" w:pos="1080"/>
          <w:tab w:val="num" w:pos="840"/>
        </w:tabs>
        <w:spacing w:after="0"/>
        <w:ind w:left="812" w:right="386" w:hanging="420"/>
        <w:rPr>
          <w:color w:val="000000" w:themeColor="text1"/>
          <w:szCs w:val="22"/>
          <w:lang w:eastAsia="en-US"/>
        </w:rPr>
      </w:pPr>
      <w:r w:rsidRPr="00A963E5">
        <w:rPr>
          <w:color w:val="000000" w:themeColor="text1"/>
          <w:szCs w:val="22"/>
          <w:lang w:eastAsia="en-US"/>
        </w:rPr>
        <w:t xml:space="preserve">Failure or uncertainty of major partners to deliver for instance in Leisure </w:t>
      </w:r>
    </w:p>
    <w:p w14:paraId="68A781C4" w14:textId="1FFB1418" w:rsidR="00A963E5" w:rsidRPr="00A963E5" w:rsidRDefault="00D44EAB" w:rsidP="00720ABB">
      <w:pPr>
        <w:numPr>
          <w:ilvl w:val="0"/>
          <w:numId w:val="13"/>
        </w:numPr>
        <w:tabs>
          <w:tab w:val="clear" w:pos="1080"/>
          <w:tab w:val="num" w:pos="840"/>
        </w:tabs>
        <w:spacing w:after="0"/>
        <w:ind w:left="812" w:right="386" w:hanging="420"/>
        <w:rPr>
          <w:color w:val="000000" w:themeColor="text1"/>
          <w:szCs w:val="22"/>
          <w:lang w:eastAsia="en-US"/>
        </w:rPr>
      </w:pPr>
      <w:r>
        <w:rPr>
          <w:color w:val="000000" w:themeColor="text1"/>
          <w:szCs w:val="22"/>
          <w:lang w:eastAsia="en-US"/>
        </w:rPr>
        <w:t>The outcome of p</w:t>
      </w:r>
      <w:r w:rsidR="00A963E5" w:rsidRPr="00A963E5">
        <w:rPr>
          <w:color w:val="000000" w:themeColor="text1"/>
          <w:szCs w:val="22"/>
          <w:lang w:eastAsia="en-US"/>
        </w:rPr>
        <w:t xml:space="preserve">ay negotiations </w:t>
      </w:r>
      <w:r>
        <w:rPr>
          <w:color w:val="000000" w:themeColor="text1"/>
          <w:szCs w:val="22"/>
          <w:lang w:eastAsia="en-US"/>
        </w:rPr>
        <w:t>leads to costs above those</w:t>
      </w:r>
      <w:r w:rsidRPr="00A963E5">
        <w:rPr>
          <w:color w:val="000000" w:themeColor="text1"/>
          <w:szCs w:val="22"/>
          <w:lang w:eastAsia="en-US"/>
        </w:rPr>
        <w:t xml:space="preserve"> </w:t>
      </w:r>
      <w:r w:rsidR="00A963E5" w:rsidRPr="00A963E5">
        <w:rPr>
          <w:color w:val="000000" w:themeColor="text1"/>
          <w:szCs w:val="22"/>
          <w:lang w:eastAsia="en-US"/>
        </w:rPr>
        <w:t>budgeted from April 2023 onwards</w:t>
      </w:r>
    </w:p>
    <w:p w14:paraId="7D2A3AFA" w14:textId="77777777" w:rsidR="00A963E5" w:rsidRPr="00A963E5" w:rsidRDefault="00A963E5" w:rsidP="00720ABB">
      <w:pPr>
        <w:numPr>
          <w:ilvl w:val="0"/>
          <w:numId w:val="13"/>
        </w:numPr>
        <w:tabs>
          <w:tab w:val="clear" w:pos="1080"/>
          <w:tab w:val="num" w:pos="840"/>
        </w:tabs>
        <w:spacing w:after="0"/>
        <w:ind w:left="812" w:right="386" w:hanging="420"/>
        <w:rPr>
          <w:color w:val="000000" w:themeColor="text1"/>
          <w:szCs w:val="22"/>
          <w:lang w:eastAsia="en-US"/>
        </w:rPr>
      </w:pPr>
      <w:r w:rsidRPr="00A963E5">
        <w:rPr>
          <w:color w:val="000000" w:themeColor="text1"/>
          <w:szCs w:val="22"/>
          <w:lang w:eastAsia="en-US"/>
        </w:rPr>
        <w:t>Companies do not perform as well as expected leading to reduced income to the Council</w:t>
      </w:r>
    </w:p>
    <w:p w14:paraId="582595E9" w14:textId="77777777" w:rsidR="00A963E5" w:rsidRPr="00A963E5" w:rsidRDefault="00A963E5" w:rsidP="00720ABB">
      <w:pPr>
        <w:numPr>
          <w:ilvl w:val="0"/>
          <w:numId w:val="13"/>
        </w:numPr>
        <w:tabs>
          <w:tab w:val="clear" w:pos="1080"/>
          <w:tab w:val="num" w:pos="840"/>
        </w:tabs>
        <w:spacing w:after="0"/>
        <w:ind w:left="812" w:right="386" w:hanging="420"/>
        <w:rPr>
          <w:color w:val="000000" w:themeColor="text1"/>
          <w:szCs w:val="22"/>
          <w:lang w:eastAsia="en-US"/>
        </w:rPr>
      </w:pPr>
      <w:r w:rsidRPr="00A963E5">
        <w:rPr>
          <w:color w:val="000000" w:themeColor="text1"/>
          <w:szCs w:val="22"/>
          <w:lang w:eastAsia="en-US"/>
        </w:rPr>
        <w:t>Business Rates income  is lower than forecast</w:t>
      </w:r>
    </w:p>
    <w:p w14:paraId="34F4E6AF" w14:textId="77777777" w:rsidR="00A963E5" w:rsidRPr="00A963E5" w:rsidRDefault="00A963E5" w:rsidP="00720ABB">
      <w:pPr>
        <w:numPr>
          <w:ilvl w:val="0"/>
          <w:numId w:val="13"/>
        </w:numPr>
        <w:tabs>
          <w:tab w:val="clear" w:pos="1080"/>
          <w:tab w:val="num" w:pos="840"/>
        </w:tabs>
        <w:spacing w:after="0"/>
        <w:ind w:left="812" w:right="386" w:hanging="420"/>
        <w:rPr>
          <w:color w:val="000000" w:themeColor="text1"/>
          <w:lang w:eastAsia="en-US"/>
        </w:rPr>
      </w:pPr>
      <w:r w:rsidRPr="00A963E5">
        <w:rPr>
          <w:color w:val="000000" w:themeColor="text1"/>
          <w:lang w:eastAsia="en-US"/>
        </w:rPr>
        <w:t>Variations in interest rates or non-performance of property funds and multi asset vehicles effecting returns to council</w:t>
      </w:r>
    </w:p>
    <w:p w14:paraId="324295A7" w14:textId="77777777" w:rsidR="00A963E5" w:rsidRPr="00A963E5" w:rsidRDefault="00A963E5" w:rsidP="00720ABB">
      <w:pPr>
        <w:numPr>
          <w:ilvl w:val="0"/>
          <w:numId w:val="13"/>
        </w:numPr>
        <w:tabs>
          <w:tab w:val="clear" w:pos="1080"/>
          <w:tab w:val="num" w:pos="840"/>
        </w:tabs>
        <w:spacing w:after="0"/>
        <w:ind w:left="812" w:right="386" w:hanging="420"/>
        <w:rPr>
          <w:color w:val="000000" w:themeColor="text1"/>
          <w:sz w:val="22"/>
          <w:szCs w:val="22"/>
          <w:lang w:eastAsia="en-US"/>
        </w:rPr>
      </w:pPr>
      <w:r w:rsidRPr="00A963E5">
        <w:rPr>
          <w:color w:val="000000" w:themeColor="text1"/>
          <w:szCs w:val="22"/>
          <w:lang w:eastAsia="en-US"/>
        </w:rPr>
        <w:t>Slippage in the capital programme adversely affects revenue savings and additional income in the MTFS</w:t>
      </w:r>
    </w:p>
    <w:p w14:paraId="3F73E57C" w14:textId="68E86FC2" w:rsidR="00A963E5" w:rsidRPr="00A963E5" w:rsidRDefault="00A963E5" w:rsidP="00720ABB">
      <w:pPr>
        <w:numPr>
          <w:ilvl w:val="0"/>
          <w:numId w:val="13"/>
        </w:numPr>
        <w:tabs>
          <w:tab w:val="clear" w:pos="1080"/>
          <w:tab w:val="num" w:pos="840"/>
        </w:tabs>
        <w:spacing w:after="0"/>
        <w:ind w:left="812" w:right="386" w:hanging="420"/>
        <w:rPr>
          <w:color w:val="000000" w:themeColor="text1"/>
          <w:sz w:val="22"/>
          <w:szCs w:val="22"/>
          <w:lang w:eastAsia="en-US"/>
        </w:rPr>
      </w:pPr>
      <w:r w:rsidRPr="00A963E5">
        <w:rPr>
          <w:color w:val="000000" w:themeColor="text1"/>
          <w:szCs w:val="22"/>
          <w:lang w:eastAsia="en-US"/>
        </w:rPr>
        <w:lastRenderedPageBreak/>
        <w:t>Cuts by partner organisations such as the County Council adversely affect service provision</w:t>
      </w:r>
      <w:r w:rsidR="00720ABB">
        <w:rPr>
          <w:color w:val="000000" w:themeColor="text1"/>
          <w:szCs w:val="22"/>
          <w:lang w:eastAsia="en-US"/>
        </w:rPr>
        <w:t>.</w:t>
      </w:r>
    </w:p>
    <w:p w14:paraId="5C379A44" w14:textId="77777777" w:rsidR="00251920" w:rsidRPr="00EF27AF" w:rsidRDefault="00251920" w:rsidP="00251920">
      <w:pPr>
        <w:spacing w:after="0"/>
        <w:ind w:left="720" w:right="386"/>
        <w:rPr>
          <w:color w:val="000000" w:themeColor="text1"/>
          <w:sz w:val="22"/>
          <w:szCs w:val="22"/>
          <w:lang w:eastAsia="en-US"/>
        </w:rPr>
      </w:pPr>
    </w:p>
    <w:p w14:paraId="5C2602D6" w14:textId="77777777" w:rsidR="00B84156" w:rsidRPr="00EF27AF" w:rsidRDefault="000731FA" w:rsidP="00894084">
      <w:pPr>
        <w:pStyle w:val="Heading1"/>
        <w:ind w:left="426" w:hanging="426"/>
      </w:pPr>
      <w:r w:rsidRPr="00EF27AF">
        <w:t>Section B</w:t>
      </w:r>
      <w:r w:rsidR="00902E5A" w:rsidRPr="00EF27AF">
        <w:t xml:space="preserve"> Housing Revenue Account Budget</w:t>
      </w:r>
    </w:p>
    <w:p w14:paraId="3947A74E" w14:textId="77777777" w:rsidR="00B84156" w:rsidRPr="00EF27AF" w:rsidRDefault="00B84156" w:rsidP="00894084">
      <w:pPr>
        <w:pStyle w:val="Heading1"/>
        <w:ind w:left="426" w:hanging="426"/>
      </w:pPr>
      <w:r w:rsidRPr="00EF27AF">
        <w:t>Issues arising since the publication of the consultation budget</w:t>
      </w:r>
    </w:p>
    <w:p w14:paraId="0CEA33D4" w14:textId="565B17C1" w:rsidR="00925A80" w:rsidRPr="00EF27AF" w:rsidRDefault="00135ABC" w:rsidP="00894084">
      <w:pPr>
        <w:pStyle w:val="bParagraphtext"/>
        <w:numPr>
          <w:ilvl w:val="0"/>
          <w:numId w:val="0"/>
        </w:numPr>
        <w:ind w:left="426" w:hanging="426"/>
      </w:pPr>
      <w:r>
        <w:t>38</w:t>
      </w:r>
      <w:r w:rsidR="00720ABB">
        <w:t>.</w:t>
      </w:r>
      <w:r w:rsidR="0070539C" w:rsidRPr="00EF27AF">
        <w:tab/>
      </w:r>
      <w:r w:rsidR="0018195F" w:rsidRPr="00EF27AF">
        <w:t>The Council</w:t>
      </w:r>
      <w:r w:rsidR="00A921FD" w:rsidRPr="00EF27AF">
        <w:t xml:space="preserve"> publi</w:t>
      </w:r>
      <w:r w:rsidR="0018195F" w:rsidRPr="00EF27AF">
        <w:t xml:space="preserve">shed its </w:t>
      </w:r>
      <w:r w:rsidR="00A921FD" w:rsidRPr="00EF27AF">
        <w:t xml:space="preserve">Consultation Budget on </w:t>
      </w:r>
      <w:r w:rsidR="00251920" w:rsidRPr="00EF27AF">
        <w:t>1</w:t>
      </w:r>
      <w:r w:rsidR="00A963E5" w:rsidRPr="00EF27AF">
        <w:t>4</w:t>
      </w:r>
      <w:r w:rsidR="001F0DAB" w:rsidRPr="00EF27AF">
        <w:t>th</w:t>
      </w:r>
      <w:r w:rsidR="00A921FD" w:rsidRPr="00EF27AF">
        <w:t xml:space="preserve"> December 20</w:t>
      </w:r>
      <w:r w:rsidR="00251920" w:rsidRPr="00EF27AF">
        <w:t>2</w:t>
      </w:r>
      <w:r w:rsidR="00A963E5" w:rsidRPr="00EF27AF">
        <w:t>2</w:t>
      </w:r>
      <w:r w:rsidR="00C71FB2" w:rsidRPr="00EF27AF">
        <w:t xml:space="preserve"> </w:t>
      </w:r>
      <w:r w:rsidR="0018195F" w:rsidRPr="00EF27AF">
        <w:t>including</w:t>
      </w:r>
      <w:r w:rsidR="00C71FB2" w:rsidRPr="00EF27AF">
        <w:t xml:space="preserve"> the Housing Revenue Account Budget</w:t>
      </w:r>
      <w:r w:rsidR="00A921FD" w:rsidRPr="00EF27AF">
        <w:t>. The budget for the Housing Revenue</w:t>
      </w:r>
      <w:r w:rsidR="00F4559D" w:rsidRPr="00EF27AF">
        <w:t xml:space="preserve"> Account is as detailed in Appendi</w:t>
      </w:r>
      <w:r w:rsidR="00C05AA0" w:rsidRPr="00EF27AF">
        <w:t>x</w:t>
      </w:r>
      <w:r w:rsidR="00F4559D" w:rsidRPr="00EF27AF">
        <w:t xml:space="preserve"> </w:t>
      </w:r>
      <w:r w:rsidR="00C71FB2" w:rsidRPr="00EF27AF">
        <w:t>4</w:t>
      </w:r>
      <w:r w:rsidR="00F4559D" w:rsidRPr="00EF27AF">
        <w:t xml:space="preserve">. </w:t>
      </w:r>
      <w:r w:rsidR="0018195F" w:rsidRPr="00EF27AF">
        <w:t xml:space="preserve">Appendix 5 shows the effect of the </w:t>
      </w:r>
      <w:r w:rsidR="00A963E5" w:rsidRPr="00EF27AF">
        <w:t>7</w:t>
      </w:r>
      <w:r w:rsidR="0018195F" w:rsidRPr="00EF27AF">
        <w:t xml:space="preserve">% </w:t>
      </w:r>
      <w:r w:rsidR="001F7413" w:rsidRPr="00EF27AF">
        <w:t>increase</w:t>
      </w:r>
      <w:r w:rsidR="0018195F" w:rsidRPr="00EF27AF">
        <w:t xml:space="preserve"> on council house rents in the city.</w:t>
      </w:r>
      <w:r w:rsidR="00DC5C3D" w:rsidRPr="00EF27AF">
        <w:t xml:space="preserve"> </w:t>
      </w:r>
      <w:r w:rsidR="00765E35">
        <w:t xml:space="preserve">Future rent increases are assumed to be at CPI +1% </w:t>
      </w:r>
      <w:r w:rsidR="00977030">
        <w:t>i.e.</w:t>
      </w:r>
      <w:r w:rsidR="00765E35">
        <w:t xml:space="preserve"> 5%, 2.5%, 2.9% and 3% for the 4 year period commencing 1-4-2024.</w:t>
      </w:r>
    </w:p>
    <w:p w14:paraId="0FD3135A" w14:textId="62868909" w:rsidR="00166E33" w:rsidRPr="00EF27AF" w:rsidRDefault="00135ABC" w:rsidP="00894084">
      <w:pPr>
        <w:pStyle w:val="bParagraphtext"/>
        <w:numPr>
          <w:ilvl w:val="0"/>
          <w:numId w:val="0"/>
        </w:numPr>
        <w:ind w:left="426" w:hanging="426"/>
        <w:rPr>
          <w:rFonts w:eastAsia="Calibri"/>
        </w:rPr>
      </w:pPr>
      <w:r>
        <w:rPr>
          <w:rFonts w:eastAsia="Calibri"/>
        </w:rPr>
        <w:t>39</w:t>
      </w:r>
      <w:r w:rsidR="00720ABB">
        <w:rPr>
          <w:rFonts w:eastAsia="Calibri"/>
        </w:rPr>
        <w:t>.</w:t>
      </w:r>
      <w:r w:rsidR="0070539C" w:rsidRPr="00EF27AF">
        <w:rPr>
          <w:rFonts w:eastAsia="Calibri"/>
        </w:rPr>
        <w:tab/>
      </w:r>
      <w:r w:rsidR="002B53F9" w:rsidRPr="00EF27AF">
        <w:rPr>
          <w:rFonts w:eastAsia="Calibri"/>
        </w:rPr>
        <w:t xml:space="preserve">Following the Budget </w:t>
      </w:r>
      <w:r w:rsidR="00925A80" w:rsidRPr="00EF27AF">
        <w:rPr>
          <w:rFonts w:eastAsia="Calibri"/>
        </w:rPr>
        <w:t xml:space="preserve">Consultation exercise </w:t>
      </w:r>
      <w:r w:rsidR="002B53F9" w:rsidRPr="00EF27AF">
        <w:rPr>
          <w:rFonts w:eastAsia="Calibri"/>
        </w:rPr>
        <w:t xml:space="preserve">the Housing Revenue Account as published at Cabinet on </w:t>
      </w:r>
      <w:r w:rsidR="00A963E5" w:rsidRPr="00EF27AF">
        <w:rPr>
          <w:rFonts w:eastAsia="Calibri"/>
        </w:rPr>
        <w:t>14</w:t>
      </w:r>
      <w:r w:rsidR="002B53F9" w:rsidRPr="00EF27AF">
        <w:rPr>
          <w:rFonts w:eastAsia="Calibri"/>
          <w:vertAlign w:val="superscript"/>
        </w:rPr>
        <w:t>th</w:t>
      </w:r>
      <w:r w:rsidR="002B53F9" w:rsidRPr="00EF27AF">
        <w:rPr>
          <w:rFonts w:eastAsia="Calibri"/>
        </w:rPr>
        <w:t xml:space="preserve"> December 202</w:t>
      </w:r>
      <w:r w:rsidR="00A963E5" w:rsidRPr="00EF27AF">
        <w:rPr>
          <w:rFonts w:eastAsia="Calibri"/>
        </w:rPr>
        <w:t>2</w:t>
      </w:r>
      <w:r w:rsidR="002B53F9" w:rsidRPr="00EF27AF">
        <w:rPr>
          <w:rFonts w:eastAsia="Calibri"/>
        </w:rPr>
        <w:t xml:space="preserve"> </w:t>
      </w:r>
      <w:r w:rsidR="00A963E5" w:rsidRPr="00EF27AF">
        <w:rPr>
          <w:rFonts w:eastAsia="Calibri"/>
        </w:rPr>
        <w:t>is subject t</w:t>
      </w:r>
      <w:r w:rsidR="00720ABB">
        <w:rPr>
          <w:rFonts w:eastAsia="Calibri"/>
        </w:rPr>
        <w:t>o some minor changes as follows:</w:t>
      </w:r>
    </w:p>
    <w:p w14:paraId="2F9A142D" w14:textId="77777777" w:rsidR="0038751D" w:rsidRPr="00C86E8C" w:rsidRDefault="0038751D" w:rsidP="00720ABB">
      <w:pPr>
        <w:pStyle w:val="ListParagraph"/>
        <w:numPr>
          <w:ilvl w:val="0"/>
          <w:numId w:val="15"/>
        </w:numPr>
        <w:ind w:left="826" w:hanging="392"/>
      </w:pPr>
      <w:r>
        <w:t xml:space="preserve">Extension of £100k for 2024-25 for spend on </w:t>
      </w:r>
      <w:r w:rsidRPr="00C86E8C">
        <w:rPr>
          <w:b/>
        </w:rPr>
        <w:t>youth related activities</w:t>
      </w:r>
      <w:r>
        <w:t xml:space="preserve"> within the HRA (which funds youth work on council estates and a grant of £50k to Rose Hill Junior Youth Club).</w:t>
      </w:r>
    </w:p>
    <w:p w14:paraId="4504C9D4" w14:textId="77777777" w:rsidR="00160614" w:rsidRPr="00EF27AF" w:rsidRDefault="00160614" w:rsidP="00720ABB">
      <w:pPr>
        <w:pStyle w:val="ListParagraph"/>
        <w:numPr>
          <w:ilvl w:val="0"/>
          <w:numId w:val="15"/>
        </w:numPr>
        <w:ind w:left="826" w:hanging="392"/>
      </w:pPr>
      <w:r w:rsidRPr="00EF27AF">
        <w:rPr>
          <w:b/>
        </w:rPr>
        <w:t xml:space="preserve">CDM posts </w:t>
      </w:r>
      <w:r w:rsidRPr="00EF27AF">
        <w:t xml:space="preserve">– Changes in Construction Design and Management health and safety regulations in relation to construction projects necessitate an increase of 2 posts in this area, one for Housing (HRA) related projects and one for General Fund. </w:t>
      </w:r>
    </w:p>
    <w:p w14:paraId="63BFAECB" w14:textId="77777777" w:rsidR="00160614" w:rsidRDefault="00160614" w:rsidP="00720ABB">
      <w:pPr>
        <w:pStyle w:val="ListParagraph"/>
        <w:numPr>
          <w:ilvl w:val="0"/>
          <w:numId w:val="15"/>
        </w:numPr>
        <w:ind w:left="826" w:hanging="392"/>
      </w:pPr>
      <w:r>
        <w:rPr>
          <w:b/>
        </w:rPr>
        <w:t xml:space="preserve">Shared ownership rents </w:t>
      </w:r>
      <w:r>
        <w:t xml:space="preserve">– Recent correspondence from DLUHC has requested whether social housing providers would be willing to voluntarily commit to shared ownership rent increases to no more than 7%. 90% of social housing providers including registered providers have made this commitment and the Secretary of State is keen that all owners of shared ownership dwellings </w:t>
      </w:r>
      <w:r w:rsidR="00EF27AF">
        <w:t>benefit</w:t>
      </w:r>
      <w:r>
        <w:t xml:space="preserve"> from this regardless of their </w:t>
      </w:r>
      <w:r>
        <w:lastRenderedPageBreak/>
        <w:t>landlord. Shared ownership rent setting is currently laid out in the lease agreement and reviewed annually in accordance with the greater of :</w:t>
      </w:r>
    </w:p>
    <w:p w14:paraId="4BA18759" w14:textId="77777777" w:rsidR="00160614" w:rsidRPr="00160614" w:rsidRDefault="00160614" w:rsidP="00720ABB">
      <w:pPr>
        <w:pStyle w:val="ListParagraph"/>
        <w:numPr>
          <w:ilvl w:val="0"/>
          <w:numId w:val="0"/>
        </w:numPr>
        <w:ind w:left="826"/>
        <w:rPr>
          <w:color w:val="auto"/>
        </w:rPr>
      </w:pPr>
      <w:proofErr w:type="spellStart"/>
      <w:r>
        <w:rPr>
          <w:color w:val="1F497D"/>
        </w:rPr>
        <w:t>i</w:t>
      </w:r>
      <w:proofErr w:type="spellEnd"/>
      <w:r w:rsidRPr="00160614">
        <w:rPr>
          <w:color w:val="auto"/>
        </w:rPr>
        <w:t xml:space="preserve">) </w:t>
      </w:r>
      <w:proofErr w:type="gramStart"/>
      <w:r w:rsidRPr="00160614">
        <w:rPr>
          <w:color w:val="auto"/>
        </w:rPr>
        <w:t>the</w:t>
      </w:r>
      <w:proofErr w:type="gramEnd"/>
      <w:r w:rsidRPr="00160614">
        <w:rPr>
          <w:color w:val="auto"/>
        </w:rPr>
        <w:t xml:space="preserve"> Gross Rent under this Lease immediately preceding the Relevant Review Date x 1.005; and</w:t>
      </w:r>
    </w:p>
    <w:p w14:paraId="0ED246DD" w14:textId="4EE67CF7" w:rsidR="00160614" w:rsidRPr="00EF27AF" w:rsidRDefault="00160614" w:rsidP="00720ABB">
      <w:pPr>
        <w:ind w:left="826"/>
        <w:rPr>
          <w:color w:val="auto"/>
        </w:rPr>
      </w:pPr>
      <w:r w:rsidRPr="00160614">
        <w:rPr>
          <w:color w:val="auto"/>
        </w:rPr>
        <w:t xml:space="preserve">(ii) </w:t>
      </w:r>
      <w:proofErr w:type="gramStart"/>
      <w:r w:rsidRPr="00160614">
        <w:rPr>
          <w:color w:val="auto"/>
        </w:rPr>
        <w:t>the</w:t>
      </w:r>
      <w:proofErr w:type="gramEnd"/>
      <w:r w:rsidRPr="00160614">
        <w:rPr>
          <w:color w:val="auto"/>
        </w:rPr>
        <w:t xml:space="preserve"> Gross Rent under this Lease immediately preceding the Relevant Review Date x ((B/A ) + 0.005). (</w:t>
      </w:r>
      <w:r w:rsidRPr="00160614">
        <w:rPr>
          <w:i/>
          <w:iCs/>
          <w:color w:val="auto"/>
        </w:rPr>
        <w:t xml:space="preserve">Where B &amp; A are the RPI </w:t>
      </w:r>
      <w:r w:rsidRPr="00EF27AF">
        <w:rPr>
          <w:i/>
          <w:iCs/>
          <w:color w:val="auto"/>
        </w:rPr>
        <w:t>indexes for the review month and 12 months prior respectively)</w:t>
      </w:r>
      <w:r w:rsidR="00720ABB">
        <w:rPr>
          <w:i/>
          <w:iCs/>
          <w:color w:val="auto"/>
        </w:rPr>
        <w:t>.</w:t>
      </w:r>
    </w:p>
    <w:p w14:paraId="33F5447C" w14:textId="4D9E7B12" w:rsidR="00EF27AF" w:rsidRPr="00EF27AF" w:rsidRDefault="00720ABB" w:rsidP="00720ABB">
      <w:pPr>
        <w:pStyle w:val="ListParagraph"/>
        <w:numPr>
          <w:ilvl w:val="0"/>
          <w:numId w:val="0"/>
        </w:numPr>
        <w:ind w:left="826" w:hanging="392"/>
        <w:rPr>
          <w:color w:val="auto"/>
        </w:rPr>
      </w:pPr>
      <w:r>
        <w:rPr>
          <w:color w:val="auto"/>
        </w:rPr>
        <w:tab/>
      </w:r>
      <w:r w:rsidR="00160614" w:rsidRPr="00EF27AF">
        <w:rPr>
          <w:color w:val="auto"/>
        </w:rPr>
        <w:t xml:space="preserve">The rent rise included in the Consultation Budget under these agreements were </w:t>
      </w:r>
      <w:r w:rsidR="00EF27AF" w:rsidRPr="00EF27AF">
        <w:rPr>
          <w:color w:val="auto"/>
        </w:rPr>
        <w:t>effectively</w:t>
      </w:r>
      <w:r w:rsidR="00160614" w:rsidRPr="00EF27AF">
        <w:rPr>
          <w:color w:val="auto"/>
        </w:rPr>
        <w:t xml:space="preserve"> an increase of 0.5% for properties less than 12 months old </w:t>
      </w:r>
      <w:r w:rsidR="00EF27AF" w:rsidRPr="00EF27AF">
        <w:rPr>
          <w:color w:val="auto"/>
        </w:rPr>
        <w:t xml:space="preserve">of which the council has 12 such properties </w:t>
      </w:r>
      <w:r w:rsidR="00160614" w:rsidRPr="00EF27AF">
        <w:rPr>
          <w:color w:val="auto"/>
        </w:rPr>
        <w:t xml:space="preserve">or RPI + 0.5% </w:t>
      </w:r>
      <w:r w:rsidR="00EF27AF" w:rsidRPr="00EF27AF">
        <w:rPr>
          <w:color w:val="auto"/>
        </w:rPr>
        <w:t xml:space="preserve">(13.1%) </w:t>
      </w:r>
      <w:r w:rsidR="00160614" w:rsidRPr="00EF27AF">
        <w:rPr>
          <w:color w:val="auto"/>
        </w:rPr>
        <w:t xml:space="preserve">for </w:t>
      </w:r>
      <w:r w:rsidR="00EF27AF" w:rsidRPr="00EF27AF">
        <w:rPr>
          <w:color w:val="auto"/>
        </w:rPr>
        <w:t xml:space="preserve">older </w:t>
      </w:r>
      <w:r w:rsidR="00160614" w:rsidRPr="00EF27AF">
        <w:rPr>
          <w:color w:val="auto"/>
        </w:rPr>
        <w:t>properties</w:t>
      </w:r>
      <w:r w:rsidR="00EF27AF" w:rsidRPr="00EF27AF">
        <w:rPr>
          <w:color w:val="auto"/>
        </w:rPr>
        <w:t xml:space="preserve"> of which the council owns 25 properties.</w:t>
      </w:r>
    </w:p>
    <w:p w14:paraId="6351055D" w14:textId="1421D83B" w:rsidR="00160614" w:rsidRPr="00EF27AF" w:rsidRDefault="00EF27AF" w:rsidP="002763F3">
      <w:pPr>
        <w:pStyle w:val="ListParagraph"/>
        <w:numPr>
          <w:ilvl w:val="0"/>
          <w:numId w:val="0"/>
        </w:numPr>
        <w:ind w:left="448" w:hanging="14"/>
        <w:rPr>
          <w:color w:val="auto"/>
        </w:rPr>
      </w:pPr>
      <w:r w:rsidRPr="00EF27AF">
        <w:rPr>
          <w:color w:val="auto"/>
        </w:rPr>
        <w:t xml:space="preserve">Agreeing to the Governments proposal wold result </w:t>
      </w:r>
      <w:r w:rsidR="002763F3">
        <w:rPr>
          <w:color w:val="auto"/>
        </w:rPr>
        <w:t xml:space="preserve">in a minimal reduction in </w:t>
      </w:r>
      <w:r w:rsidRPr="00EF27AF">
        <w:rPr>
          <w:color w:val="auto"/>
        </w:rPr>
        <w:t xml:space="preserve">rental income to the council of £5,143 per annum. </w:t>
      </w:r>
      <w:r w:rsidR="00160614" w:rsidRPr="00EF27AF">
        <w:rPr>
          <w:color w:val="auto"/>
        </w:rPr>
        <w:t xml:space="preserve"> </w:t>
      </w:r>
    </w:p>
    <w:p w14:paraId="3647A318" w14:textId="73E4F58F" w:rsidR="00A963E5" w:rsidRPr="00EF27AF" w:rsidRDefault="00135ABC" w:rsidP="00894084">
      <w:pPr>
        <w:pStyle w:val="bParagraphtext"/>
        <w:numPr>
          <w:ilvl w:val="0"/>
          <w:numId w:val="0"/>
        </w:numPr>
        <w:ind w:left="426" w:hanging="426"/>
      </w:pPr>
      <w:r>
        <w:t>40</w:t>
      </w:r>
      <w:r w:rsidR="009C1B2A">
        <w:t>.</w:t>
      </w:r>
      <w:r w:rsidR="00DD42AD">
        <w:tab/>
      </w:r>
      <w:r w:rsidR="00EF27AF" w:rsidRPr="00EF27AF">
        <w:t>The Revised HRA taking account of these changes is summarised below:</w:t>
      </w:r>
    </w:p>
    <w:p w14:paraId="75488F2E" w14:textId="77777777" w:rsidR="00870BB3" w:rsidRPr="00B54839" w:rsidRDefault="00870BB3" w:rsidP="0070539C">
      <w:pPr>
        <w:pStyle w:val="bParagraphtext"/>
        <w:numPr>
          <w:ilvl w:val="0"/>
          <w:numId w:val="0"/>
        </w:numPr>
        <w:ind w:left="425" w:hanging="425"/>
        <w:rPr>
          <w:highlight w:val="yellow"/>
        </w:rPr>
      </w:pPr>
    </w:p>
    <w:p w14:paraId="7BA9D224" w14:textId="77777777" w:rsidR="00CF7721" w:rsidRPr="00EF27AF" w:rsidRDefault="00DB4566" w:rsidP="0070539C">
      <w:pPr>
        <w:pStyle w:val="bParagraphtext"/>
        <w:numPr>
          <w:ilvl w:val="0"/>
          <w:numId w:val="0"/>
        </w:numPr>
        <w:ind w:left="425" w:hanging="425"/>
        <w:rPr>
          <w:b/>
        </w:rPr>
      </w:pPr>
      <w:r w:rsidRPr="00EF27AF">
        <w:rPr>
          <w:b/>
        </w:rPr>
        <w:t>Table 5</w:t>
      </w:r>
      <w:r w:rsidR="00CF7721" w:rsidRPr="00EF27AF">
        <w:rPr>
          <w:b/>
        </w:rPr>
        <w:t xml:space="preserve"> Housing Revenue Account</w:t>
      </w:r>
    </w:p>
    <w:tbl>
      <w:tblPr>
        <w:tblW w:w="9380"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20"/>
        <w:gridCol w:w="1124"/>
        <w:gridCol w:w="1356"/>
        <w:gridCol w:w="1240"/>
        <w:gridCol w:w="1240"/>
      </w:tblGrid>
      <w:tr w:rsidR="00D95FC7" w:rsidRPr="00EF27AF" w14:paraId="385F9BE0" w14:textId="77777777" w:rsidTr="00E1382D">
        <w:trPr>
          <w:trHeight w:val="300"/>
        </w:trPr>
        <w:tc>
          <w:tcPr>
            <w:tcW w:w="4420" w:type="dxa"/>
            <w:shd w:val="clear" w:color="auto" w:fill="auto"/>
            <w:noWrap/>
            <w:vAlign w:val="bottom"/>
            <w:hideMark/>
          </w:tcPr>
          <w:p w14:paraId="3CEFA7CA" w14:textId="77777777" w:rsidR="00D95FC7" w:rsidRPr="00EF27AF" w:rsidRDefault="00D95FC7" w:rsidP="00D95FC7">
            <w:pPr>
              <w:spacing w:after="0"/>
              <w:rPr>
                <w:rFonts w:cs="Arial"/>
                <w:b/>
                <w:bCs/>
                <w:sz w:val="22"/>
                <w:szCs w:val="22"/>
              </w:rPr>
            </w:pPr>
          </w:p>
        </w:tc>
        <w:tc>
          <w:tcPr>
            <w:tcW w:w="1124" w:type="dxa"/>
            <w:shd w:val="clear" w:color="auto" w:fill="auto"/>
            <w:noWrap/>
            <w:vAlign w:val="bottom"/>
            <w:hideMark/>
          </w:tcPr>
          <w:p w14:paraId="5104BBD6" w14:textId="77777777" w:rsidR="00D95FC7" w:rsidRPr="00EF27AF" w:rsidRDefault="00D95FC7" w:rsidP="00D95FC7">
            <w:pPr>
              <w:spacing w:after="0"/>
              <w:jc w:val="center"/>
              <w:rPr>
                <w:rFonts w:cs="Arial"/>
                <w:b/>
                <w:sz w:val="22"/>
                <w:szCs w:val="22"/>
              </w:rPr>
            </w:pPr>
            <w:r w:rsidRPr="00EF27AF">
              <w:rPr>
                <w:rFonts w:cs="Arial"/>
                <w:b/>
                <w:sz w:val="22"/>
                <w:szCs w:val="22"/>
              </w:rPr>
              <w:t>202</w:t>
            </w:r>
            <w:r w:rsidR="00EF27AF" w:rsidRPr="00EF27AF">
              <w:rPr>
                <w:rFonts w:cs="Arial"/>
                <w:b/>
                <w:sz w:val="22"/>
                <w:szCs w:val="22"/>
              </w:rPr>
              <w:t>3</w:t>
            </w:r>
            <w:r w:rsidRPr="00EF27AF">
              <w:rPr>
                <w:rFonts w:cs="Arial"/>
                <w:b/>
                <w:sz w:val="22"/>
                <w:szCs w:val="22"/>
              </w:rPr>
              <w:t>/2</w:t>
            </w:r>
            <w:r w:rsidR="00EF27AF" w:rsidRPr="00EF27AF">
              <w:rPr>
                <w:rFonts w:cs="Arial"/>
                <w:b/>
                <w:sz w:val="22"/>
                <w:szCs w:val="22"/>
              </w:rPr>
              <w:t>4</w:t>
            </w:r>
          </w:p>
          <w:p w14:paraId="3DA6D736" w14:textId="77777777" w:rsidR="00D95FC7" w:rsidRPr="00EF27AF" w:rsidRDefault="00D95FC7" w:rsidP="00D95FC7">
            <w:pPr>
              <w:spacing w:after="0"/>
              <w:jc w:val="center"/>
              <w:rPr>
                <w:rFonts w:cs="Arial"/>
                <w:b/>
                <w:sz w:val="22"/>
                <w:szCs w:val="22"/>
              </w:rPr>
            </w:pPr>
            <w:r w:rsidRPr="00EF27AF">
              <w:rPr>
                <w:rFonts w:cs="Arial"/>
                <w:b/>
                <w:sz w:val="22"/>
                <w:szCs w:val="22"/>
              </w:rPr>
              <w:t>£000’s</w:t>
            </w:r>
          </w:p>
        </w:tc>
        <w:tc>
          <w:tcPr>
            <w:tcW w:w="1356" w:type="dxa"/>
            <w:shd w:val="clear" w:color="auto" w:fill="auto"/>
            <w:noWrap/>
            <w:vAlign w:val="bottom"/>
            <w:hideMark/>
          </w:tcPr>
          <w:p w14:paraId="449AFD9F" w14:textId="77777777" w:rsidR="00D95FC7" w:rsidRPr="00EF27AF" w:rsidRDefault="00D95FC7" w:rsidP="00D95FC7">
            <w:pPr>
              <w:spacing w:after="0"/>
              <w:jc w:val="center"/>
              <w:rPr>
                <w:rFonts w:cs="Arial"/>
                <w:b/>
                <w:sz w:val="22"/>
                <w:szCs w:val="22"/>
              </w:rPr>
            </w:pPr>
            <w:r w:rsidRPr="00EF27AF">
              <w:rPr>
                <w:rFonts w:cs="Arial"/>
                <w:b/>
                <w:sz w:val="22"/>
                <w:szCs w:val="22"/>
              </w:rPr>
              <w:t>202</w:t>
            </w:r>
            <w:r w:rsidR="00EF27AF" w:rsidRPr="00EF27AF">
              <w:rPr>
                <w:rFonts w:cs="Arial"/>
                <w:b/>
                <w:sz w:val="22"/>
                <w:szCs w:val="22"/>
              </w:rPr>
              <w:t>4</w:t>
            </w:r>
            <w:r w:rsidRPr="00EF27AF">
              <w:rPr>
                <w:rFonts w:cs="Arial"/>
                <w:b/>
                <w:sz w:val="22"/>
                <w:szCs w:val="22"/>
              </w:rPr>
              <w:t>/2</w:t>
            </w:r>
            <w:r w:rsidR="00EF27AF" w:rsidRPr="00EF27AF">
              <w:rPr>
                <w:rFonts w:cs="Arial"/>
                <w:b/>
                <w:sz w:val="22"/>
                <w:szCs w:val="22"/>
              </w:rPr>
              <w:t>5</w:t>
            </w:r>
          </w:p>
          <w:p w14:paraId="09008FC9" w14:textId="77777777" w:rsidR="00D95FC7" w:rsidRPr="00EF27AF" w:rsidRDefault="00D95FC7" w:rsidP="00D95FC7">
            <w:pPr>
              <w:spacing w:after="0"/>
              <w:jc w:val="center"/>
              <w:rPr>
                <w:rFonts w:cs="Arial"/>
                <w:sz w:val="22"/>
                <w:szCs w:val="22"/>
              </w:rPr>
            </w:pPr>
            <w:r w:rsidRPr="00EF27AF">
              <w:rPr>
                <w:rFonts w:cs="Arial"/>
                <w:b/>
                <w:sz w:val="22"/>
                <w:szCs w:val="22"/>
              </w:rPr>
              <w:t>£000’s</w:t>
            </w:r>
          </w:p>
        </w:tc>
        <w:tc>
          <w:tcPr>
            <w:tcW w:w="1240" w:type="dxa"/>
            <w:shd w:val="clear" w:color="auto" w:fill="auto"/>
            <w:noWrap/>
            <w:vAlign w:val="bottom"/>
            <w:hideMark/>
          </w:tcPr>
          <w:p w14:paraId="7598CF62" w14:textId="77777777" w:rsidR="00D95FC7" w:rsidRPr="00EF27AF" w:rsidRDefault="00D95FC7" w:rsidP="00D95FC7">
            <w:pPr>
              <w:spacing w:after="0"/>
              <w:jc w:val="center"/>
              <w:rPr>
                <w:rFonts w:cs="Arial"/>
                <w:b/>
                <w:sz w:val="22"/>
                <w:szCs w:val="22"/>
              </w:rPr>
            </w:pPr>
            <w:r w:rsidRPr="00EF27AF">
              <w:rPr>
                <w:rFonts w:cs="Arial"/>
                <w:b/>
                <w:sz w:val="22"/>
                <w:szCs w:val="22"/>
              </w:rPr>
              <w:t>202</w:t>
            </w:r>
            <w:r w:rsidR="00EF27AF" w:rsidRPr="00EF27AF">
              <w:rPr>
                <w:rFonts w:cs="Arial"/>
                <w:b/>
                <w:sz w:val="22"/>
                <w:szCs w:val="22"/>
              </w:rPr>
              <w:t>5</w:t>
            </w:r>
            <w:r w:rsidRPr="00EF27AF">
              <w:rPr>
                <w:rFonts w:cs="Arial"/>
                <w:b/>
                <w:sz w:val="22"/>
                <w:szCs w:val="22"/>
              </w:rPr>
              <w:t>/2</w:t>
            </w:r>
            <w:r w:rsidR="00EF27AF" w:rsidRPr="00EF27AF">
              <w:rPr>
                <w:rFonts w:cs="Arial"/>
                <w:b/>
                <w:sz w:val="22"/>
                <w:szCs w:val="22"/>
              </w:rPr>
              <w:t>6</w:t>
            </w:r>
          </w:p>
          <w:p w14:paraId="0258D9BE" w14:textId="77777777" w:rsidR="00D95FC7" w:rsidRPr="00EF27AF" w:rsidRDefault="00D95FC7" w:rsidP="00D95FC7">
            <w:pPr>
              <w:spacing w:after="0"/>
              <w:jc w:val="center"/>
              <w:rPr>
                <w:rFonts w:cs="Arial"/>
                <w:sz w:val="22"/>
                <w:szCs w:val="22"/>
              </w:rPr>
            </w:pPr>
            <w:r w:rsidRPr="00EF27AF">
              <w:rPr>
                <w:rFonts w:cs="Arial"/>
                <w:b/>
                <w:sz w:val="22"/>
                <w:szCs w:val="22"/>
              </w:rPr>
              <w:t>£000’s</w:t>
            </w:r>
          </w:p>
        </w:tc>
        <w:tc>
          <w:tcPr>
            <w:tcW w:w="1240" w:type="dxa"/>
            <w:shd w:val="clear" w:color="auto" w:fill="auto"/>
            <w:noWrap/>
            <w:vAlign w:val="bottom"/>
            <w:hideMark/>
          </w:tcPr>
          <w:p w14:paraId="25A5FA4F" w14:textId="77777777" w:rsidR="00D95FC7" w:rsidRPr="00EF27AF" w:rsidRDefault="00D95FC7" w:rsidP="00D95FC7">
            <w:pPr>
              <w:spacing w:after="0"/>
              <w:jc w:val="center"/>
              <w:rPr>
                <w:rFonts w:cs="Arial"/>
                <w:b/>
                <w:sz w:val="22"/>
                <w:szCs w:val="22"/>
              </w:rPr>
            </w:pPr>
            <w:r w:rsidRPr="00EF27AF">
              <w:rPr>
                <w:rFonts w:cs="Arial"/>
                <w:b/>
                <w:sz w:val="22"/>
                <w:szCs w:val="22"/>
              </w:rPr>
              <w:t>202</w:t>
            </w:r>
            <w:r w:rsidR="00EF27AF" w:rsidRPr="00EF27AF">
              <w:rPr>
                <w:rFonts w:cs="Arial"/>
                <w:b/>
                <w:sz w:val="22"/>
                <w:szCs w:val="22"/>
              </w:rPr>
              <w:t>6</w:t>
            </w:r>
            <w:r w:rsidRPr="00EF27AF">
              <w:rPr>
                <w:rFonts w:cs="Arial"/>
                <w:b/>
                <w:sz w:val="22"/>
                <w:szCs w:val="22"/>
              </w:rPr>
              <w:t>/2</w:t>
            </w:r>
            <w:r w:rsidR="00EF27AF" w:rsidRPr="00EF27AF">
              <w:rPr>
                <w:rFonts w:cs="Arial"/>
                <w:b/>
                <w:sz w:val="22"/>
                <w:szCs w:val="22"/>
              </w:rPr>
              <w:t>7</w:t>
            </w:r>
          </w:p>
          <w:p w14:paraId="6B806996" w14:textId="77777777" w:rsidR="00D95FC7" w:rsidRPr="00EF27AF" w:rsidRDefault="00D95FC7" w:rsidP="00D95FC7">
            <w:pPr>
              <w:spacing w:after="0"/>
              <w:jc w:val="center"/>
              <w:rPr>
                <w:rFonts w:cs="Arial"/>
                <w:sz w:val="22"/>
                <w:szCs w:val="22"/>
              </w:rPr>
            </w:pPr>
            <w:r w:rsidRPr="00EF27AF">
              <w:rPr>
                <w:rFonts w:cs="Arial"/>
                <w:b/>
                <w:sz w:val="22"/>
                <w:szCs w:val="22"/>
              </w:rPr>
              <w:t>£000’s</w:t>
            </w:r>
          </w:p>
        </w:tc>
      </w:tr>
      <w:tr w:rsidR="00D95FC7" w:rsidRPr="00EF27AF" w14:paraId="2941F8C1" w14:textId="77777777" w:rsidTr="00E1382D">
        <w:trPr>
          <w:trHeight w:val="300"/>
        </w:trPr>
        <w:tc>
          <w:tcPr>
            <w:tcW w:w="4420" w:type="dxa"/>
            <w:shd w:val="clear" w:color="auto" w:fill="auto"/>
            <w:noWrap/>
            <w:vAlign w:val="bottom"/>
            <w:hideMark/>
          </w:tcPr>
          <w:p w14:paraId="46EBA7EE" w14:textId="77777777" w:rsidR="00D95FC7" w:rsidRPr="00EF27AF" w:rsidRDefault="00D95FC7" w:rsidP="00D95FC7">
            <w:pPr>
              <w:spacing w:after="0"/>
              <w:rPr>
                <w:rFonts w:cs="Arial"/>
                <w:b/>
                <w:bCs/>
                <w:sz w:val="22"/>
                <w:szCs w:val="22"/>
              </w:rPr>
            </w:pPr>
          </w:p>
        </w:tc>
        <w:tc>
          <w:tcPr>
            <w:tcW w:w="1124" w:type="dxa"/>
            <w:shd w:val="clear" w:color="auto" w:fill="auto"/>
            <w:noWrap/>
            <w:vAlign w:val="bottom"/>
            <w:hideMark/>
          </w:tcPr>
          <w:p w14:paraId="59964135" w14:textId="77777777" w:rsidR="00D95FC7" w:rsidRPr="00EF27AF" w:rsidRDefault="00D95FC7" w:rsidP="00D95FC7">
            <w:pPr>
              <w:spacing w:after="0"/>
              <w:jc w:val="right"/>
              <w:rPr>
                <w:rFonts w:cs="Arial"/>
                <w:sz w:val="22"/>
                <w:szCs w:val="22"/>
              </w:rPr>
            </w:pPr>
            <w:r w:rsidRPr="00EF27AF">
              <w:rPr>
                <w:rFonts w:cs="Arial"/>
                <w:sz w:val="22"/>
                <w:szCs w:val="22"/>
              </w:rPr>
              <w:t> </w:t>
            </w:r>
          </w:p>
        </w:tc>
        <w:tc>
          <w:tcPr>
            <w:tcW w:w="1356" w:type="dxa"/>
            <w:shd w:val="clear" w:color="auto" w:fill="auto"/>
            <w:noWrap/>
            <w:vAlign w:val="bottom"/>
            <w:hideMark/>
          </w:tcPr>
          <w:p w14:paraId="74506FBC" w14:textId="77777777" w:rsidR="00D95FC7" w:rsidRPr="00EF27AF" w:rsidRDefault="00D95FC7" w:rsidP="00D95FC7">
            <w:pPr>
              <w:spacing w:after="0"/>
              <w:jc w:val="right"/>
              <w:rPr>
                <w:rFonts w:cs="Arial"/>
                <w:sz w:val="22"/>
                <w:szCs w:val="22"/>
              </w:rPr>
            </w:pPr>
            <w:r w:rsidRPr="00EF27AF">
              <w:rPr>
                <w:rFonts w:cs="Arial"/>
                <w:sz w:val="22"/>
                <w:szCs w:val="22"/>
              </w:rPr>
              <w:t> </w:t>
            </w:r>
          </w:p>
        </w:tc>
        <w:tc>
          <w:tcPr>
            <w:tcW w:w="1240" w:type="dxa"/>
            <w:shd w:val="clear" w:color="auto" w:fill="auto"/>
            <w:noWrap/>
            <w:vAlign w:val="bottom"/>
            <w:hideMark/>
          </w:tcPr>
          <w:p w14:paraId="4CDB6533" w14:textId="77777777" w:rsidR="00D95FC7" w:rsidRPr="00EF27AF" w:rsidRDefault="00D95FC7" w:rsidP="00D95FC7">
            <w:pPr>
              <w:spacing w:after="0"/>
              <w:jc w:val="right"/>
              <w:rPr>
                <w:rFonts w:cs="Arial"/>
                <w:sz w:val="22"/>
                <w:szCs w:val="22"/>
              </w:rPr>
            </w:pPr>
            <w:r w:rsidRPr="00EF27AF">
              <w:rPr>
                <w:rFonts w:cs="Arial"/>
                <w:sz w:val="22"/>
                <w:szCs w:val="22"/>
              </w:rPr>
              <w:t> </w:t>
            </w:r>
          </w:p>
        </w:tc>
        <w:tc>
          <w:tcPr>
            <w:tcW w:w="1240" w:type="dxa"/>
            <w:shd w:val="clear" w:color="auto" w:fill="auto"/>
            <w:noWrap/>
            <w:vAlign w:val="bottom"/>
            <w:hideMark/>
          </w:tcPr>
          <w:p w14:paraId="17C63091" w14:textId="77777777" w:rsidR="00D95FC7" w:rsidRPr="00EF27AF" w:rsidRDefault="00D95FC7" w:rsidP="00D95FC7">
            <w:pPr>
              <w:spacing w:after="0"/>
              <w:jc w:val="right"/>
              <w:rPr>
                <w:rFonts w:cs="Arial"/>
                <w:sz w:val="22"/>
                <w:szCs w:val="22"/>
              </w:rPr>
            </w:pPr>
            <w:r w:rsidRPr="00EF27AF">
              <w:rPr>
                <w:rFonts w:cs="Arial"/>
                <w:sz w:val="22"/>
                <w:szCs w:val="22"/>
              </w:rPr>
              <w:t> </w:t>
            </w:r>
          </w:p>
        </w:tc>
      </w:tr>
      <w:tr w:rsidR="00D95FC7" w:rsidRPr="00EF27AF" w14:paraId="63CAE0E3" w14:textId="77777777" w:rsidTr="00E1382D">
        <w:trPr>
          <w:trHeight w:val="300"/>
        </w:trPr>
        <w:tc>
          <w:tcPr>
            <w:tcW w:w="4420" w:type="dxa"/>
            <w:shd w:val="clear" w:color="auto" w:fill="auto"/>
            <w:noWrap/>
            <w:vAlign w:val="bottom"/>
            <w:hideMark/>
          </w:tcPr>
          <w:p w14:paraId="62F0C1ED" w14:textId="77777777" w:rsidR="00D95FC7" w:rsidRPr="00EF27AF" w:rsidRDefault="00D95FC7" w:rsidP="00D95FC7">
            <w:pPr>
              <w:spacing w:after="0"/>
              <w:rPr>
                <w:rFonts w:cs="Arial"/>
                <w:sz w:val="22"/>
                <w:szCs w:val="22"/>
              </w:rPr>
            </w:pPr>
            <w:r w:rsidRPr="00EF27AF">
              <w:rPr>
                <w:rFonts w:cs="Arial"/>
                <w:sz w:val="22"/>
                <w:szCs w:val="22"/>
              </w:rPr>
              <w:t> Income</w:t>
            </w:r>
          </w:p>
        </w:tc>
        <w:tc>
          <w:tcPr>
            <w:tcW w:w="1124" w:type="dxa"/>
            <w:shd w:val="clear" w:color="auto" w:fill="auto"/>
            <w:noWrap/>
            <w:vAlign w:val="bottom"/>
          </w:tcPr>
          <w:p w14:paraId="494C9BAE" w14:textId="77777777" w:rsidR="00D95FC7" w:rsidRPr="00EF27AF" w:rsidRDefault="00A54864" w:rsidP="00D95FC7">
            <w:pPr>
              <w:spacing w:after="0"/>
              <w:jc w:val="right"/>
              <w:rPr>
                <w:rFonts w:cs="Arial"/>
                <w:sz w:val="22"/>
                <w:szCs w:val="22"/>
              </w:rPr>
            </w:pPr>
            <w:r>
              <w:rPr>
                <w:rFonts w:cs="Arial"/>
                <w:sz w:val="22"/>
                <w:szCs w:val="22"/>
              </w:rPr>
              <w:t>(51,572)</w:t>
            </w:r>
          </w:p>
        </w:tc>
        <w:tc>
          <w:tcPr>
            <w:tcW w:w="1356" w:type="dxa"/>
            <w:shd w:val="clear" w:color="auto" w:fill="auto"/>
            <w:noWrap/>
            <w:vAlign w:val="bottom"/>
          </w:tcPr>
          <w:p w14:paraId="1AFD4259" w14:textId="77777777" w:rsidR="00D95FC7" w:rsidRPr="00EF27AF" w:rsidRDefault="00A54864" w:rsidP="00D95FC7">
            <w:pPr>
              <w:spacing w:after="0"/>
              <w:jc w:val="right"/>
              <w:rPr>
                <w:rFonts w:cs="Arial"/>
                <w:sz w:val="22"/>
                <w:szCs w:val="22"/>
              </w:rPr>
            </w:pPr>
            <w:r>
              <w:rPr>
                <w:rFonts w:cs="Arial"/>
                <w:sz w:val="22"/>
                <w:szCs w:val="22"/>
              </w:rPr>
              <w:t>(56,747)</w:t>
            </w:r>
          </w:p>
        </w:tc>
        <w:tc>
          <w:tcPr>
            <w:tcW w:w="1240" w:type="dxa"/>
            <w:shd w:val="clear" w:color="auto" w:fill="auto"/>
            <w:noWrap/>
            <w:vAlign w:val="bottom"/>
          </w:tcPr>
          <w:p w14:paraId="00E70589" w14:textId="77777777" w:rsidR="00D95FC7" w:rsidRPr="00EF27AF" w:rsidRDefault="00A54864" w:rsidP="00D95FC7">
            <w:pPr>
              <w:spacing w:after="0"/>
              <w:jc w:val="right"/>
              <w:rPr>
                <w:rFonts w:cs="Arial"/>
                <w:sz w:val="22"/>
                <w:szCs w:val="22"/>
              </w:rPr>
            </w:pPr>
            <w:r>
              <w:rPr>
                <w:rFonts w:cs="Arial"/>
                <w:sz w:val="22"/>
                <w:szCs w:val="22"/>
              </w:rPr>
              <w:t>(59,186)</w:t>
            </w:r>
          </w:p>
        </w:tc>
        <w:tc>
          <w:tcPr>
            <w:tcW w:w="1240" w:type="dxa"/>
            <w:shd w:val="clear" w:color="auto" w:fill="auto"/>
            <w:noWrap/>
            <w:vAlign w:val="bottom"/>
          </w:tcPr>
          <w:p w14:paraId="39CC0AE6" w14:textId="77777777" w:rsidR="00D95FC7" w:rsidRPr="00EF27AF" w:rsidRDefault="00A54864" w:rsidP="00D95FC7">
            <w:pPr>
              <w:spacing w:after="0"/>
              <w:jc w:val="right"/>
              <w:rPr>
                <w:rFonts w:cs="Arial"/>
                <w:sz w:val="22"/>
                <w:szCs w:val="22"/>
              </w:rPr>
            </w:pPr>
            <w:r>
              <w:rPr>
                <w:rFonts w:cs="Arial"/>
                <w:sz w:val="22"/>
                <w:szCs w:val="22"/>
              </w:rPr>
              <w:t>(63,098)</w:t>
            </w:r>
          </w:p>
        </w:tc>
      </w:tr>
      <w:tr w:rsidR="00D95FC7" w:rsidRPr="00EF27AF" w14:paraId="4744C3EC" w14:textId="77777777" w:rsidTr="00E1382D">
        <w:trPr>
          <w:trHeight w:val="288"/>
        </w:trPr>
        <w:tc>
          <w:tcPr>
            <w:tcW w:w="4420" w:type="dxa"/>
            <w:tcBorders>
              <w:bottom w:val="single" w:sz="4" w:space="0" w:color="auto"/>
            </w:tcBorders>
            <w:shd w:val="clear" w:color="auto" w:fill="auto"/>
            <w:noWrap/>
            <w:vAlign w:val="bottom"/>
          </w:tcPr>
          <w:p w14:paraId="792246C5" w14:textId="77777777" w:rsidR="00D95FC7" w:rsidRPr="00EF27AF" w:rsidRDefault="00D95FC7" w:rsidP="00D95FC7">
            <w:pPr>
              <w:spacing w:after="0"/>
              <w:rPr>
                <w:rFonts w:cs="Arial"/>
                <w:sz w:val="22"/>
                <w:szCs w:val="22"/>
              </w:rPr>
            </w:pPr>
            <w:r w:rsidRPr="00EF27AF">
              <w:rPr>
                <w:rFonts w:cs="Arial"/>
                <w:sz w:val="22"/>
                <w:szCs w:val="22"/>
              </w:rPr>
              <w:t>Expenditure</w:t>
            </w:r>
          </w:p>
        </w:tc>
        <w:tc>
          <w:tcPr>
            <w:tcW w:w="1124" w:type="dxa"/>
            <w:tcBorders>
              <w:bottom w:val="single" w:sz="4" w:space="0" w:color="auto"/>
            </w:tcBorders>
            <w:shd w:val="clear" w:color="auto" w:fill="auto"/>
            <w:noWrap/>
            <w:vAlign w:val="bottom"/>
          </w:tcPr>
          <w:p w14:paraId="3301D965" w14:textId="77777777" w:rsidR="00D95FC7" w:rsidRPr="00EF27AF" w:rsidRDefault="00E46CD2" w:rsidP="00E46CD2">
            <w:pPr>
              <w:spacing w:after="0"/>
              <w:jc w:val="right"/>
              <w:rPr>
                <w:color w:val="auto"/>
                <w:sz w:val="22"/>
                <w:szCs w:val="22"/>
              </w:rPr>
            </w:pPr>
            <w:r>
              <w:rPr>
                <w:color w:val="auto"/>
                <w:sz w:val="22"/>
                <w:szCs w:val="22"/>
              </w:rPr>
              <w:t>50</w:t>
            </w:r>
            <w:r w:rsidR="00A54864">
              <w:rPr>
                <w:color w:val="auto"/>
                <w:sz w:val="22"/>
                <w:szCs w:val="22"/>
              </w:rPr>
              <w:t>,</w:t>
            </w:r>
            <w:r>
              <w:rPr>
                <w:color w:val="auto"/>
                <w:sz w:val="22"/>
                <w:szCs w:val="22"/>
              </w:rPr>
              <w:t>388</w:t>
            </w:r>
          </w:p>
        </w:tc>
        <w:tc>
          <w:tcPr>
            <w:tcW w:w="1356" w:type="dxa"/>
            <w:tcBorders>
              <w:bottom w:val="single" w:sz="4" w:space="0" w:color="auto"/>
            </w:tcBorders>
            <w:shd w:val="clear" w:color="auto" w:fill="auto"/>
            <w:noWrap/>
            <w:vAlign w:val="bottom"/>
          </w:tcPr>
          <w:p w14:paraId="68FDCBD5" w14:textId="77777777" w:rsidR="00D95FC7" w:rsidRPr="00EF27AF" w:rsidRDefault="00A54864" w:rsidP="00C86E8C">
            <w:pPr>
              <w:spacing w:after="0"/>
              <w:jc w:val="right"/>
              <w:rPr>
                <w:color w:val="auto"/>
                <w:sz w:val="22"/>
                <w:szCs w:val="22"/>
              </w:rPr>
            </w:pPr>
            <w:r>
              <w:rPr>
                <w:color w:val="auto"/>
                <w:sz w:val="22"/>
                <w:szCs w:val="22"/>
              </w:rPr>
              <w:t>5</w:t>
            </w:r>
            <w:r w:rsidR="00E46CD2">
              <w:rPr>
                <w:color w:val="auto"/>
                <w:sz w:val="22"/>
                <w:szCs w:val="22"/>
              </w:rPr>
              <w:t>3</w:t>
            </w:r>
            <w:r>
              <w:rPr>
                <w:color w:val="auto"/>
                <w:sz w:val="22"/>
                <w:szCs w:val="22"/>
              </w:rPr>
              <w:t>,</w:t>
            </w:r>
            <w:r w:rsidR="00C86E8C">
              <w:rPr>
                <w:color w:val="auto"/>
                <w:sz w:val="22"/>
                <w:szCs w:val="22"/>
              </w:rPr>
              <w:t>8</w:t>
            </w:r>
            <w:r w:rsidR="007D5F2D">
              <w:rPr>
                <w:color w:val="auto"/>
                <w:sz w:val="22"/>
                <w:szCs w:val="22"/>
              </w:rPr>
              <w:t>43</w:t>
            </w:r>
          </w:p>
        </w:tc>
        <w:tc>
          <w:tcPr>
            <w:tcW w:w="1240" w:type="dxa"/>
            <w:tcBorders>
              <w:bottom w:val="single" w:sz="4" w:space="0" w:color="auto"/>
            </w:tcBorders>
            <w:shd w:val="clear" w:color="auto" w:fill="auto"/>
            <w:noWrap/>
            <w:vAlign w:val="bottom"/>
          </w:tcPr>
          <w:p w14:paraId="6B81A9E8" w14:textId="77777777" w:rsidR="00D95FC7" w:rsidRPr="00EF27AF" w:rsidRDefault="00A54864" w:rsidP="007D5F2D">
            <w:pPr>
              <w:spacing w:after="0"/>
              <w:jc w:val="right"/>
              <w:rPr>
                <w:color w:val="auto"/>
                <w:sz w:val="22"/>
                <w:szCs w:val="22"/>
              </w:rPr>
            </w:pPr>
            <w:r>
              <w:rPr>
                <w:color w:val="auto"/>
                <w:sz w:val="22"/>
                <w:szCs w:val="22"/>
              </w:rPr>
              <w:t>5</w:t>
            </w:r>
            <w:r w:rsidR="00E46CD2">
              <w:rPr>
                <w:color w:val="auto"/>
                <w:sz w:val="22"/>
                <w:szCs w:val="22"/>
              </w:rPr>
              <w:t>4</w:t>
            </w:r>
            <w:r>
              <w:rPr>
                <w:color w:val="auto"/>
                <w:sz w:val="22"/>
                <w:szCs w:val="22"/>
              </w:rPr>
              <w:t>,</w:t>
            </w:r>
            <w:r w:rsidR="00E46CD2">
              <w:rPr>
                <w:color w:val="auto"/>
                <w:sz w:val="22"/>
                <w:szCs w:val="22"/>
              </w:rPr>
              <w:t>7</w:t>
            </w:r>
            <w:r w:rsidR="007D5F2D">
              <w:rPr>
                <w:color w:val="auto"/>
                <w:sz w:val="22"/>
                <w:szCs w:val="22"/>
              </w:rPr>
              <w:t>47</w:t>
            </w:r>
          </w:p>
        </w:tc>
        <w:tc>
          <w:tcPr>
            <w:tcW w:w="1240" w:type="dxa"/>
            <w:tcBorders>
              <w:bottom w:val="single" w:sz="4" w:space="0" w:color="auto"/>
            </w:tcBorders>
            <w:shd w:val="clear" w:color="auto" w:fill="auto"/>
            <w:noWrap/>
            <w:vAlign w:val="bottom"/>
          </w:tcPr>
          <w:p w14:paraId="686008F6" w14:textId="77777777" w:rsidR="00D95FC7" w:rsidRPr="00EF27AF" w:rsidRDefault="00A54864" w:rsidP="007D5F2D">
            <w:pPr>
              <w:spacing w:after="0"/>
              <w:jc w:val="right"/>
              <w:rPr>
                <w:color w:val="auto"/>
                <w:sz w:val="22"/>
                <w:szCs w:val="22"/>
              </w:rPr>
            </w:pPr>
            <w:r>
              <w:rPr>
                <w:color w:val="auto"/>
                <w:sz w:val="22"/>
                <w:szCs w:val="22"/>
              </w:rPr>
              <w:t>5</w:t>
            </w:r>
            <w:r w:rsidR="00E46CD2">
              <w:rPr>
                <w:color w:val="auto"/>
                <w:sz w:val="22"/>
                <w:szCs w:val="22"/>
              </w:rPr>
              <w:t>6</w:t>
            </w:r>
            <w:r>
              <w:rPr>
                <w:color w:val="auto"/>
                <w:sz w:val="22"/>
                <w:szCs w:val="22"/>
              </w:rPr>
              <w:t>,</w:t>
            </w:r>
            <w:r w:rsidR="00E46CD2">
              <w:rPr>
                <w:color w:val="auto"/>
                <w:sz w:val="22"/>
                <w:szCs w:val="22"/>
              </w:rPr>
              <w:t>9</w:t>
            </w:r>
            <w:r w:rsidR="007D5F2D">
              <w:rPr>
                <w:color w:val="auto"/>
                <w:sz w:val="22"/>
                <w:szCs w:val="22"/>
              </w:rPr>
              <w:t>93</w:t>
            </w:r>
          </w:p>
        </w:tc>
      </w:tr>
      <w:tr w:rsidR="00D95FC7" w:rsidRPr="00EF27AF" w14:paraId="6B22701A" w14:textId="77777777" w:rsidTr="00E1382D">
        <w:trPr>
          <w:trHeight w:val="288"/>
        </w:trPr>
        <w:tc>
          <w:tcPr>
            <w:tcW w:w="4420" w:type="dxa"/>
            <w:tcBorders>
              <w:top w:val="single" w:sz="4" w:space="0" w:color="auto"/>
              <w:bottom w:val="nil"/>
            </w:tcBorders>
            <w:shd w:val="clear" w:color="auto" w:fill="auto"/>
            <w:noWrap/>
            <w:vAlign w:val="bottom"/>
          </w:tcPr>
          <w:p w14:paraId="341D068F" w14:textId="77777777" w:rsidR="00D95FC7" w:rsidRPr="00E46CD2" w:rsidRDefault="00D95FC7" w:rsidP="00D95FC7">
            <w:pPr>
              <w:spacing w:after="0"/>
              <w:rPr>
                <w:rFonts w:cs="Arial"/>
                <w:b/>
                <w:sz w:val="22"/>
                <w:szCs w:val="22"/>
              </w:rPr>
            </w:pPr>
            <w:r w:rsidRPr="00E46CD2">
              <w:rPr>
                <w:rFonts w:cs="Arial"/>
                <w:b/>
                <w:sz w:val="22"/>
                <w:szCs w:val="22"/>
              </w:rPr>
              <w:t>Net Operating Expenditure</w:t>
            </w:r>
          </w:p>
        </w:tc>
        <w:tc>
          <w:tcPr>
            <w:tcW w:w="1124" w:type="dxa"/>
            <w:tcBorders>
              <w:top w:val="single" w:sz="4" w:space="0" w:color="auto"/>
              <w:bottom w:val="nil"/>
            </w:tcBorders>
            <w:shd w:val="clear" w:color="auto" w:fill="auto"/>
            <w:noWrap/>
            <w:vAlign w:val="bottom"/>
          </w:tcPr>
          <w:p w14:paraId="58915CE9" w14:textId="77777777" w:rsidR="00D95FC7" w:rsidRPr="00EF27AF" w:rsidRDefault="00E46CD2" w:rsidP="00E46CD2">
            <w:pPr>
              <w:spacing w:after="0"/>
              <w:jc w:val="right"/>
              <w:rPr>
                <w:b/>
                <w:color w:val="auto"/>
                <w:sz w:val="22"/>
                <w:szCs w:val="22"/>
              </w:rPr>
            </w:pPr>
            <w:r>
              <w:rPr>
                <w:b/>
                <w:color w:val="auto"/>
                <w:sz w:val="22"/>
                <w:szCs w:val="22"/>
              </w:rPr>
              <w:t>(1,184)</w:t>
            </w:r>
          </w:p>
        </w:tc>
        <w:tc>
          <w:tcPr>
            <w:tcW w:w="1356" w:type="dxa"/>
            <w:tcBorders>
              <w:top w:val="single" w:sz="4" w:space="0" w:color="auto"/>
              <w:bottom w:val="nil"/>
            </w:tcBorders>
            <w:shd w:val="clear" w:color="auto" w:fill="auto"/>
            <w:noWrap/>
            <w:vAlign w:val="bottom"/>
          </w:tcPr>
          <w:p w14:paraId="5BA642FD" w14:textId="77777777" w:rsidR="00D95FC7" w:rsidRPr="00EF27AF" w:rsidRDefault="00A54864" w:rsidP="00C86E8C">
            <w:pPr>
              <w:spacing w:after="0"/>
              <w:jc w:val="right"/>
              <w:rPr>
                <w:b/>
                <w:color w:val="auto"/>
                <w:sz w:val="22"/>
                <w:szCs w:val="22"/>
              </w:rPr>
            </w:pPr>
            <w:r>
              <w:rPr>
                <w:b/>
                <w:color w:val="auto"/>
                <w:sz w:val="22"/>
                <w:szCs w:val="22"/>
              </w:rPr>
              <w:t>(</w:t>
            </w:r>
            <w:r w:rsidR="00C86E8C">
              <w:rPr>
                <w:b/>
                <w:color w:val="auto"/>
                <w:sz w:val="22"/>
                <w:szCs w:val="22"/>
              </w:rPr>
              <w:t>2</w:t>
            </w:r>
            <w:r w:rsidR="00E46CD2">
              <w:rPr>
                <w:b/>
                <w:color w:val="auto"/>
                <w:sz w:val="22"/>
                <w:szCs w:val="22"/>
              </w:rPr>
              <w:t>,</w:t>
            </w:r>
            <w:r w:rsidR="00C86E8C">
              <w:rPr>
                <w:b/>
                <w:color w:val="auto"/>
                <w:sz w:val="22"/>
                <w:szCs w:val="22"/>
              </w:rPr>
              <w:t>9</w:t>
            </w:r>
            <w:r w:rsidR="007D5F2D">
              <w:rPr>
                <w:b/>
                <w:color w:val="auto"/>
                <w:sz w:val="22"/>
                <w:szCs w:val="22"/>
              </w:rPr>
              <w:t>04</w:t>
            </w:r>
            <w:r>
              <w:rPr>
                <w:b/>
                <w:color w:val="auto"/>
                <w:sz w:val="22"/>
                <w:szCs w:val="22"/>
              </w:rPr>
              <w:t>)</w:t>
            </w:r>
          </w:p>
        </w:tc>
        <w:tc>
          <w:tcPr>
            <w:tcW w:w="1240" w:type="dxa"/>
            <w:tcBorders>
              <w:top w:val="single" w:sz="4" w:space="0" w:color="auto"/>
              <w:bottom w:val="nil"/>
            </w:tcBorders>
            <w:shd w:val="clear" w:color="auto" w:fill="auto"/>
            <w:noWrap/>
            <w:vAlign w:val="bottom"/>
          </w:tcPr>
          <w:p w14:paraId="1464D6C7" w14:textId="77777777" w:rsidR="00D95FC7" w:rsidRPr="00EF27AF" w:rsidRDefault="00A54864" w:rsidP="007D5F2D">
            <w:pPr>
              <w:spacing w:after="0"/>
              <w:jc w:val="right"/>
              <w:rPr>
                <w:b/>
                <w:color w:val="auto"/>
                <w:sz w:val="22"/>
                <w:szCs w:val="22"/>
              </w:rPr>
            </w:pPr>
            <w:r>
              <w:rPr>
                <w:b/>
                <w:color w:val="auto"/>
                <w:sz w:val="22"/>
                <w:szCs w:val="22"/>
              </w:rPr>
              <w:t>(</w:t>
            </w:r>
            <w:r w:rsidR="00E46CD2">
              <w:rPr>
                <w:b/>
                <w:color w:val="auto"/>
                <w:sz w:val="22"/>
                <w:szCs w:val="22"/>
              </w:rPr>
              <w:t>4,4</w:t>
            </w:r>
            <w:r w:rsidR="007D5F2D">
              <w:rPr>
                <w:b/>
                <w:color w:val="auto"/>
                <w:sz w:val="22"/>
                <w:szCs w:val="22"/>
              </w:rPr>
              <w:t>39</w:t>
            </w:r>
            <w:r>
              <w:rPr>
                <w:b/>
                <w:color w:val="auto"/>
                <w:sz w:val="22"/>
                <w:szCs w:val="22"/>
              </w:rPr>
              <w:t>)</w:t>
            </w:r>
          </w:p>
        </w:tc>
        <w:tc>
          <w:tcPr>
            <w:tcW w:w="1240" w:type="dxa"/>
            <w:tcBorders>
              <w:top w:val="single" w:sz="4" w:space="0" w:color="auto"/>
              <w:bottom w:val="nil"/>
            </w:tcBorders>
            <w:shd w:val="clear" w:color="auto" w:fill="auto"/>
            <w:noWrap/>
            <w:vAlign w:val="bottom"/>
          </w:tcPr>
          <w:p w14:paraId="7B905539" w14:textId="77777777" w:rsidR="00D95FC7" w:rsidRPr="00EF27AF" w:rsidRDefault="00A54864" w:rsidP="007D5F2D">
            <w:pPr>
              <w:spacing w:after="0"/>
              <w:jc w:val="right"/>
              <w:rPr>
                <w:b/>
                <w:color w:val="auto"/>
                <w:sz w:val="22"/>
                <w:szCs w:val="22"/>
              </w:rPr>
            </w:pPr>
            <w:r>
              <w:rPr>
                <w:b/>
                <w:color w:val="auto"/>
                <w:sz w:val="22"/>
                <w:szCs w:val="22"/>
              </w:rPr>
              <w:t>(</w:t>
            </w:r>
            <w:r w:rsidR="00E46CD2">
              <w:rPr>
                <w:b/>
                <w:color w:val="auto"/>
                <w:sz w:val="22"/>
                <w:szCs w:val="22"/>
              </w:rPr>
              <w:t>6,1</w:t>
            </w:r>
            <w:r w:rsidR="007D5F2D">
              <w:rPr>
                <w:b/>
                <w:color w:val="auto"/>
                <w:sz w:val="22"/>
                <w:szCs w:val="22"/>
              </w:rPr>
              <w:t>05</w:t>
            </w:r>
            <w:r>
              <w:rPr>
                <w:b/>
                <w:color w:val="auto"/>
                <w:sz w:val="22"/>
                <w:szCs w:val="22"/>
              </w:rPr>
              <w:t>)</w:t>
            </w:r>
          </w:p>
        </w:tc>
      </w:tr>
      <w:tr w:rsidR="00D95FC7" w:rsidRPr="00EF27AF" w14:paraId="117B04ED" w14:textId="77777777" w:rsidTr="00E1382D">
        <w:trPr>
          <w:trHeight w:val="288"/>
        </w:trPr>
        <w:tc>
          <w:tcPr>
            <w:tcW w:w="4420" w:type="dxa"/>
            <w:shd w:val="clear" w:color="auto" w:fill="auto"/>
            <w:noWrap/>
            <w:vAlign w:val="bottom"/>
          </w:tcPr>
          <w:p w14:paraId="23339427" w14:textId="77777777" w:rsidR="00D95FC7" w:rsidRPr="00E46CD2" w:rsidRDefault="00D95FC7" w:rsidP="00D95FC7">
            <w:pPr>
              <w:spacing w:after="0"/>
              <w:rPr>
                <w:rFonts w:cs="Arial"/>
                <w:sz w:val="22"/>
                <w:szCs w:val="22"/>
              </w:rPr>
            </w:pPr>
            <w:r w:rsidRPr="00E46CD2">
              <w:rPr>
                <w:rFonts w:cs="Arial"/>
                <w:sz w:val="22"/>
                <w:szCs w:val="22"/>
              </w:rPr>
              <w:t>Investment income</w:t>
            </w:r>
          </w:p>
        </w:tc>
        <w:tc>
          <w:tcPr>
            <w:tcW w:w="1124" w:type="dxa"/>
            <w:shd w:val="clear" w:color="auto" w:fill="auto"/>
            <w:noWrap/>
            <w:vAlign w:val="bottom"/>
          </w:tcPr>
          <w:p w14:paraId="0CC755A4" w14:textId="77777777" w:rsidR="00D95FC7" w:rsidRPr="00EF27AF" w:rsidRDefault="00A54864" w:rsidP="00E46CD2">
            <w:pPr>
              <w:spacing w:after="0"/>
              <w:jc w:val="right"/>
              <w:rPr>
                <w:color w:val="auto"/>
                <w:sz w:val="22"/>
                <w:szCs w:val="22"/>
              </w:rPr>
            </w:pPr>
            <w:r>
              <w:rPr>
                <w:color w:val="auto"/>
                <w:sz w:val="22"/>
                <w:szCs w:val="22"/>
              </w:rPr>
              <w:t>(</w:t>
            </w:r>
            <w:r w:rsidR="00E46CD2">
              <w:rPr>
                <w:color w:val="auto"/>
                <w:sz w:val="22"/>
                <w:szCs w:val="22"/>
              </w:rPr>
              <w:t>48</w:t>
            </w:r>
            <w:r>
              <w:rPr>
                <w:color w:val="auto"/>
                <w:sz w:val="22"/>
                <w:szCs w:val="22"/>
              </w:rPr>
              <w:t>)</w:t>
            </w:r>
          </w:p>
        </w:tc>
        <w:tc>
          <w:tcPr>
            <w:tcW w:w="1356" w:type="dxa"/>
            <w:shd w:val="clear" w:color="auto" w:fill="auto"/>
            <w:noWrap/>
            <w:vAlign w:val="bottom"/>
          </w:tcPr>
          <w:p w14:paraId="562D3444" w14:textId="77777777" w:rsidR="00D95FC7" w:rsidRPr="00EF27AF" w:rsidRDefault="00A54864" w:rsidP="00E46CD2">
            <w:pPr>
              <w:spacing w:after="0"/>
              <w:jc w:val="right"/>
              <w:rPr>
                <w:color w:val="auto"/>
                <w:sz w:val="22"/>
                <w:szCs w:val="22"/>
              </w:rPr>
            </w:pPr>
            <w:r>
              <w:rPr>
                <w:color w:val="auto"/>
                <w:sz w:val="22"/>
                <w:szCs w:val="22"/>
              </w:rPr>
              <w:t>(</w:t>
            </w:r>
            <w:r w:rsidR="00E46CD2">
              <w:rPr>
                <w:color w:val="auto"/>
                <w:sz w:val="22"/>
                <w:szCs w:val="22"/>
              </w:rPr>
              <w:t>40</w:t>
            </w:r>
            <w:r>
              <w:rPr>
                <w:color w:val="auto"/>
                <w:sz w:val="22"/>
                <w:szCs w:val="22"/>
              </w:rPr>
              <w:t>)</w:t>
            </w:r>
          </w:p>
        </w:tc>
        <w:tc>
          <w:tcPr>
            <w:tcW w:w="1240" w:type="dxa"/>
            <w:shd w:val="clear" w:color="auto" w:fill="auto"/>
            <w:noWrap/>
            <w:vAlign w:val="bottom"/>
          </w:tcPr>
          <w:p w14:paraId="1F3AFDAE" w14:textId="77777777" w:rsidR="00D95FC7" w:rsidRPr="00EF27AF" w:rsidRDefault="00A54864" w:rsidP="00E46CD2">
            <w:pPr>
              <w:spacing w:after="0"/>
              <w:jc w:val="right"/>
              <w:rPr>
                <w:color w:val="auto"/>
                <w:sz w:val="22"/>
                <w:szCs w:val="22"/>
              </w:rPr>
            </w:pPr>
            <w:r>
              <w:rPr>
                <w:color w:val="auto"/>
                <w:sz w:val="22"/>
                <w:szCs w:val="22"/>
              </w:rPr>
              <w:t>(</w:t>
            </w:r>
            <w:r w:rsidR="00E46CD2">
              <w:rPr>
                <w:color w:val="auto"/>
                <w:sz w:val="22"/>
                <w:szCs w:val="22"/>
              </w:rPr>
              <w:t>34</w:t>
            </w:r>
            <w:r>
              <w:rPr>
                <w:color w:val="auto"/>
                <w:sz w:val="22"/>
                <w:szCs w:val="22"/>
              </w:rPr>
              <w:t>)</w:t>
            </w:r>
          </w:p>
        </w:tc>
        <w:tc>
          <w:tcPr>
            <w:tcW w:w="1240" w:type="dxa"/>
            <w:shd w:val="clear" w:color="auto" w:fill="auto"/>
            <w:noWrap/>
            <w:vAlign w:val="bottom"/>
          </w:tcPr>
          <w:p w14:paraId="3522C20C" w14:textId="77777777" w:rsidR="00D95FC7" w:rsidRPr="00EF27AF" w:rsidRDefault="00A54864" w:rsidP="00E46CD2">
            <w:pPr>
              <w:spacing w:after="0"/>
              <w:jc w:val="right"/>
              <w:rPr>
                <w:color w:val="auto"/>
                <w:sz w:val="22"/>
                <w:szCs w:val="22"/>
              </w:rPr>
            </w:pPr>
            <w:r>
              <w:rPr>
                <w:color w:val="auto"/>
                <w:sz w:val="22"/>
                <w:szCs w:val="22"/>
              </w:rPr>
              <w:t>(</w:t>
            </w:r>
            <w:r w:rsidR="00E46CD2">
              <w:rPr>
                <w:color w:val="auto"/>
                <w:sz w:val="22"/>
                <w:szCs w:val="22"/>
              </w:rPr>
              <w:t>33</w:t>
            </w:r>
            <w:r>
              <w:rPr>
                <w:color w:val="auto"/>
                <w:sz w:val="22"/>
                <w:szCs w:val="22"/>
              </w:rPr>
              <w:t>)</w:t>
            </w:r>
          </w:p>
        </w:tc>
      </w:tr>
      <w:tr w:rsidR="00D95FC7" w:rsidRPr="00EF27AF" w14:paraId="48006527" w14:textId="77777777" w:rsidTr="00E1382D">
        <w:trPr>
          <w:trHeight w:val="288"/>
        </w:trPr>
        <w:tc>
          <w:tcPr>
            <w:tcW w:w="4420" w:type="dxa"/>
            <w:shd w:val="clear" w:color="auto" w:fill="auto"/>
            <w:noWrap/>
            <w:vAlign w:val="bottom"/>
          </w:tcPr>
          <w:p w14:paraId="3778C546" w14:textId="77777777" w:rsidR="00D95FC7" w:rsidRPr="00E46CD2" w:rsidRDefault="00D95FC7" w:rsidP="00D95FC7">
            <w:pPr>
              <w:spacing w:after="0"/>
              <w:rPr>
                <w:rFonts w:cs="Arial"/>
                <w:sz w:val="22"/>
                <w:szCs w:val="22"/>
              </w:rPr>
            </w:pPr>
            <w:r w:rsidRPr="00E46CD2">
              <w:rPr>
                <w:rFonts w:cs="Arial"/>
                <w:sz w:val="22"/>
                <w:szCs w:val="22"/>
              </w:rPr>
              <w:t>Revenue Contributions</w:t>
            </w:r>
          </w:p>
        </w:tc>
        <w:tc>
          <w:tcPr>
            <w:tcW w:w="1124" w:type="dxa"/>
            <w:shd w:val="clear" w:color="auto" w:fill="auto"/>
            <w:noWrap/>
            <w:vAlign w:val="bottom"/>
          </w:tcPr>
          <w:p w14:paraId="2F34EBB7" w14:textId="77777777" w:rsidR="00D95FC7" w:rsidRPr="00EF27AF" w:rsidRDefault="00A54864" w:rsidP="00D95FC7">
            <w:pPr>
              <w:spacing w:after="0"/>
              <w:jc w:val="right"/>
              <w:rPr>
                <w:b/>
                <w:color w:val="auto"/>
                <w:sz w:val="22"/>
                <w:szCs w:val="22"/>
              </w:rPr>
            </w:pPr>
            <w:r>
              <w:rPr>
                <w:b/>
                <w:color w:val="auto"/>
                <w:sz w:val="22"/>
                <w:szCs w:val="22"/>
              </w:rPr>
              <w:t>0</w:t>
            </w:r>
          </w:p>
        </w:tc>
        <w:tc>
          <w:tcPr>
            <w:tcW w:w="1356" w:type="dxa"/>
            <w:shd w:val="clear" w:color="auto" w:fill="auto"/>
            <w:noWrap/>
            <w:vAlign w:val="bottom"/>
          </w:tcPr>
          <w:p w14:paraId="1C43AACB" w14:textId="77777777" w:rsidR="00D95FC7" w:rsidRPr="00EF27AF" w:rsidRDefault="00E46CD2" w:rsidP="007D5F2D">
            <w:pPr>
              <w:spacing w:after="0"/>
              <w:jc w:val="right"/>
              <w:rPr>
                <w:b/>
                <w:color w:val="auto"/>
                <w:sz w:val="22"/>
                <w:szCs w:val="22"/>
              </w:rPr>
            </w:pPr>
            <w:r>
              <w:rPr>
                <w:b/>
                <w:color w:val="auto"/>
                <w:sz w:val="22"/>
                <w:szCs w:val="22"/>
              </w:rPr>
              <w:t>7,</w:t>
            </w:r>
            <w:r w:rsidR="007D5F2D">
              <w:rPr>
                <w:b/>
                <w:color w:val="auto"/>
                <w:sz w:val="22"/>
                <w:szCs w:val="22"/>
              </w:rPr>
              <w:t>0</w:t>
            </w:r>
            <w:r>
              <w:rPr>
                <w:b/>
                <w:color w:val="auto"/>
                <w:sz w:val="22"/>
                <w:szCs w:val="22"/>
              </w:rPr>
              <w:t>56</w:t>
            </w:r>
          </w:p>
        </w:tc>
        <w:tc>
          <w:tcPr>
            <w:tcW w:w="1240" w:type="dxa"/>
            <w:shd w:val="clear" w:color="auto" w:fill="auto"/>
            <w:noWrap/>
            <w:vAlign w:val="bottom"/>
          </w:tcPr>
          <w:p w14:paraId="6AFBE305" w14:textId="77777777" w:rsidR="00D95FC7" w:rsidRPr="00EF27AF" w:rsidRDefault="00E46CD2" w:rsidP="007D5F2D">
            <w:pPr>
              <w:spacing w:after="0"/>
              <w:jc w:val="right"/>
              <w:rPr>
                <w:color w:val="auto"/>
                <w:sz w:val="22"/>
                <w:szCs w:val="22"/>
              </w:rPr>
            </w:pPr>
            <w:r>
              <w:rPr>
                <w:color w:val="auto"/>
                <w:sz w:val="22"/>
                <w:szCs w:val="22"/>
              </w:rPr>
              <w:t>2,</w:t>
            </w:r>
            <w:r w:rsidR="007D5F2D">
              <w:rPr>
                <w:color w:val="auto"/>
                <w:sz w:val="22"/>
                <w:szCs w:val="22"/>
              </w:rPr>
              <w:t>935</w:t>
            </w:r>
          </w:p>
        </w:tc>
        <w:tc>
          <w:tcPr>
            <w:tcW w:w="1240" w:type="dxa"/>
            <w:shd w:val="clear" w:color="auto" w:fill="auto"/>
            <w:noWrap/>
            <w:vAlign w:val="bottom"/>
          </w:tcPr>
          <w:p w14:paraId="5C411646" w14:textId="77777777" w:rsidR="00D95FC7" w:rsidRPr="00EF27AF" w:rsidRDefault="007D5F2D" w:rsidP="007D5F2D">
            <w:pPr>
              <w:spacing w:after="0"/>
              <w:jc w:val="right"/>
              <w:rPr>
                <w:color w:val="auto"/>
                <w:sz w:val="22"/>
                <w:szCs w:val="22"/>
              </w:rPr>
            </w:pPr>
            <w:r>
              <w:rPr>
                <w:color w:val="auto"/>
                <w:sz w:val="22"/>
                <w:szCs w:val="22"/>
              </w:rPr>
              <w:t>7,648</w:t>
            </w:r>
          </w:p>
        </w:tc>
      </w:tr>
      <w:tr w:rsidR="00D95FC7" w:rsidRPr="00EF27AF" w14:paraId="2F2B8CBB" w14:textId="77777777" w:rsidTr="00E1382D">
        <w:trPr>
          <w:trHeight w:val="288"/>
        </w:trPr>
        <w:tc>
          <w:tcPr>
            <w:tcW w:w="4420" w:type="dxa"/>
            <w:shd w:val="clear" w:color="auto" w:fill="auto"/>
            <w:noWrap/>
            <w:vAlign w:val="bottom"/>
          </w:tcPr>
          <w:p w14:paraId="52356E52" w14:textId="77777777" w:rsidR="00D95FC7" w:rsidRPr="00E46CD2" w:rsidRDefault="00D95FC7" w:rsidP="00D95FC7">
            <w:pPr>
              <w:spacing w:after="0"/>
              <w:rPr>
                <w:rFonts w:cs="Arial"/>
                <w:b/>
                <w:sz w:val="22"/>
                <w:szCs w:val="22"/>
              </w:rPr>
            </w:pPr>
            <w:r w:rsidRPr="00E46CD2">
              <w:rPr>
                <w:rFonts w:cs="Arial"/>
                <w:b/>
                <w:sz w:val="22"/>
                <w:szCs w:val="22"/>
              </w:rPr>
              <w:t>(Surplus)/Deficit for the Year</w:t>
            </w:r>
          </w:p>
        </w:tc>
        <w:tc>
          <w:tcPr>
            <w:tcW w:w="1124" w:type="dxa"/>
            <w:shd w:val="clear" w:color="auto" w:fill="auto"/>
            <w:noWrap/>
            <w:vAlign w:val="bottom"/>
          </w:tcPr>
          <w:p w14:paraId="66D621DE" w14:textId="77777777" w:rsidR="00D95FC7" w:rsidRPr="00EF27AF" w:rsidRDefault="00E46CD2" w:rsidP="00D95FC7">
            <w:pPr>
              <w:spacing w:after="0"/>
              <w:jc w:val="right"/>
              <w:rPr>
                <w:b/>
                <w:color w:val="auto"/>
                <w:sz w:val="22"/>
                <w:szCs w:val="22"/>
              </w:rPr>
            </w:pPr>
            <w:r>
              <w:rPr>
                <w:b/>
                <w:color w:val="auto"/>
                <w:sz w:val="22"/>
                <w:szCs w:val="22"/>
              </w:rPr>
              <w:t>(1,232)</w:t>
            </w:r>
          </w:p>
        </w:tc>
        <w:tc>
          <w:tcPr>
            <w:tcW w:w="1356" w:type="dxa"/>
            <w:shd w:val="clear" w:color="auto" w:fill="auto"/>
            <w:noWrap/>
            <w:vAlign w:val="bottom"/>
          </w:tcPr>
          <w:p w14:paraId="3FDE38EF" w14:textId="77777777" w:rsidR="00D95FC7" w:rsidRPr="00EF27AF" w:rsidRDefault="00E46CD2" w:rsidP="00C86E8C">
            <w:pPr>
              <w:spacing w:after="0"/>
              <w:jc w:val="right"/>
              <w:rPr>
                <w:b/>
                <w:color w:val="auto"/>
                <w:sz w:val="22"/>
                <w:szCs w:val="22"/>
              </w:rPr>
            </w:pPr>
            <w:r>
              <w:rPr>
                <w:b/>
                <w:color w:val="auto"/>
                <w:sz w:val="22"/>
                <w:szCs w:val="22"/>
              </w:rPr>
              <w:t>4,</w:t>
            </w:r>
            <w:r w:rsidR="00C86E8C">
              <w:rPr>
                <w:b/>
                <w:color w:val="auto"/>
                <w:sz w:val="22"/>
                <w:szCs w:val="22"/>
              </w:rPr>
              <w:t>1</w:t>
            </w:r>
            <w:r w:rsidR="007D5F2D">
              <w:rPr>
                <w:b/>
                <w:color w:val="auto"/>
                <w:sz w:val="22"/>
                <w:szCs w:val="22"/>
              </w:rPr>
              <w:t>12</w:t>
            </w:r>
          </w:p>
        </w:tc>
        <w:tc>
          <w:tcPr>
            <w:tcW w:w="1240" w:type="dxa"/>
            <w:shd w:val="clear" w:color="auto" w:fill="auto"/>
            <w:noWrap/>
            <w:vAlign w:val="bottom"/>
          </w:tcPr>
          <w:p w14:paraId="4B3B0942" w14:textId="77777777" w:rsidR="00D95FC7" w:rsidRPr="00EF27AF" w:rsidRDefault="00E46CD2" w:rsidP="007D5F2D">
            <w:pPr>
              <w:spacing w:after="0"/>
              <w:jc w:val="right"/>
              <w:rPr>
                <w:b/>
                <w:color w:val="auto"/>
                <w:sz w:val="22"/>
                <w:szCs w:val="22"/>
              </w:rPr>
            </w:pPr>
            <w:r>
              <w:rPr>
                <w:b/>
                <w:color w:val="auto"/>
                <w:sz w:val="22"/>
                <w:szCs w:val="22"/>
              </w:rPr>
              <w:t>(1,</w:t>
            </w:r>
            <w:r w:rsidR="007D5F2D">
              <w:rPr>
                <w:b/>
                <w:color w:val="auto"/>
                <w:sz w:val="22"/>
                <w:szCs w:val="22"/>
              </w:rPr>
              <w:t>538</w:t>
            </w:r>
            <w:r>
              <w:rPr>
                <w:b/>
                <w:color w:val="auto"/>
                <w:sz w:val="22"/>
                <w:szCs w:val="22"/>
              </w:rPr>
              <w:t>)</w:t>
            </w:r>
          </w:p>
        </w:tc>
        <w:tc>
          <w:tcPr>
            <w:tcW w:w="1240" w:type="dxa"/>
            <w:shd w:val="clear" w:color="auto" w:fill="auto"/>
            <w:noWrap/>
            <w:vAlign w:val="bottom"/>
          </w:tcPr>
          <w:p w14:paraId="32DEFA0D" w14:textId="77777777" w:rsidR="00D95FC7" w:rsidRPr="00EF27AF" w:rsidRDefault="007D5F2D" w:rsidP="00D95FC7">
            <w:pPr>
              <w:spacing w:after="0"/>
              <w:jc w:val="right"/>
              <w:rPr>
                <w:b/>
                <w:color w:val="auto"/>
                <w:sz w:val="22"/>
                <w:szCs w:val="22"/>
              </w:rPr>
            </w:pPr>
            <w:r>
              <w:rPr>
                <w:b/>
                <w:color w:val="auto"/>
                <w:sz w:val="22"/>
                <w:szCs w:val="22"/>
              </w:rPr>
              <w:t>1,510</w:t>
            </w:r>
          </w:p>
        </w:tc>
      </w:tr>
      <w:tr w:rsidR="00D95FC7" w:rsidRPr="00EF27AF" w14:paraId="6B6FDF8C" w14:textId="77777777" w:rsidTr="00E1382D">
        <w:trPr>
          <w:trHeight w:val="288"/>
        </w:trPr>
        <w:tc>
          <w:tcPr>
            <w:tcW w:w="4420" w:type="dxa"/>
            <w:shd w:val="clear" w:color="auto" w:fill="auto"/>
            <w:noWrap/>
            <w:vAlign w:val="bottom"/>
          </w:tcPr>
          <w:p w14:paraId="34C2AAC4" w14:textId="77777777" w:rsidR="00D95FC7" w:rsidRPr="00E46CD2" w:rsidRDefault="00D95FC7" w:rsidP="00D95FC7">
            <w:pPr>
              <w:spacing w:after="0"/>
              <w:rPr>
                <w:rFonts w:cs="Arial"/>
                <w:sz w:val="22"/>
                <w:szCs w:val="22"/>
              </w:rPr>
            </w:pPr>
          </w:p>
        </w:tc>
        <w:tc>
          <w:tcPr>
            <w:tcW w:w="1124" w:type="dxa"/>
            <w:shd w:val="clear" w:color="auto" w:fill="auto"/>
            <w:noWrap/>
            <w:vAlign w:val="bottom"/>
          </w:tcPr>
          <w:p w14:paraId="2B1DE9F6" w14:textId="77777777" w:rsidR="00D95FC7" w:rsidRPr="00EF27AF" w:rsidRDefault="00D95FC7" w:rsidP="00D95FC7">
            <w:pPr>
              <w:spacing w:after="0"/>
              <w:jc w:val="right"/>
              <w:rPr>
                <w:color w:val="auto"/>
                <w:sz w:val="22"/>
                <w:szCs w:val="22"/>
              </w:rPr>
            </w:pPr>
          </w:p>
        </w:tc>
        <w:tc>
          <w:tcPr>
            <w:tcW w:w="1356" w:type="dxa"/>
            <w:shd w:val="clear" w:color="auto" w:fill="auto"/>
            <w:noWrap/>
            <w:vAlign w:val="bottom"/>
          </w:tcPr>
          <w:p w14:paraId="35A54428" w14:textId="77777777" w:rsidR="00D95FC7" w:rsidRPr="00EF27AF" w:rsidRDefault="00D95FC7" w:rsidP="00D95FC7">
            <w:pPr>
              <w:spacing w:after="0"/>
              <w:jc w:val="right"/>
              <w:rPr>
                <w:color w:val="auto"/>
                <w:sz w:val="22"/>
                <w:szCs w:val="22"/>
              </w:rPr>
            </w:pPr>
          </w:p>
        </w:tc>
        <w:tc>
          <w:tcPr>
            <w:tcW w:w="1240" w:type="dxa"/>
            <w:shd w:val="clear" w:color="auto" w:fill="auto"/>
            <w:noWrap/>
            <w:vAlign w:val="bottom"/>
          </w:tcPr>
          <w:p w14:paraId="20347871" w14:textId="77777777" w:rsidR="00D95FC7" w:rsidRPr="00EF27AF" w:rsidRDefault="00D95FC7" w:rsidP="00D95FC7">
            <w:pPr>
              <w:spacing w:after="0"/>
              <w:jc w:val="right"/>
              <w:rPr>
                <w:color w:val="auto"/>
                <w:sz w:val="22"/>
                <w:szCs w:val="22"/>
              </w:rPr>
            </w:pPr>
          </w:p>
        </w:tc>
        <w:tc>
          <w:tcPr>
            <w:tcW w:w="1240" w:type="dxa"/>
            <w:shd w:val="clear" w:color="auto" w:fill="auto"/>
            <w:noWrap/>
            <w:vAlign w:val="bottom"/>
          </w:tcPr>
          <w:p w14:paraId="17FD4C96" w14:textId="77777777" w:rsidR="00D95FC7" w:rsidRPr="00EF27AF" w:rsidRDefault="00D95FC7" w:rsidP="00D95FC7">
            <w:pPr>
              <w:spacing w:after="0"/>
              <w:jc w:val="right"/>
              <w:rPr>
                <w:color w:val="auto"/>
                <w:sz w:val="22"/>
                <w:szCs w:val="22"/>
              </w:rPr>
            </w:pPr>
          </w:p>
        </w:tc>
      </w:tr>
      <w:tr w:rsidR="00D95FC7" w:rsidRPr="00EF27AF" w14:paraId="10491CB0" w14:textId="77777777" w:rsidTr="00E1382D">
        <w:trPr>
          <w:trHeight w:val="288"/>
        </w:trPr>
        <w:tc>
          <w:tcPr>
            <w:tcW w:w="4420" w:type="dxa"/>
            <w:shd w:val="clear" w:color="auto" w:fill="auto"/>
            <w:noWrap/>
            <w:vAlign w:val="bottom"/>
          </w:tcPr>
          <w:p w14:paraId="3DDFDB85" w14:textId="77777777" w:rsidR="00D95FC7" w:rsidRPr="00E46CD2" w:rsidRDefault="00D95FC7" w:rsidP="00D95FC7">
            <w:pPr>
              <w:spacing w:after="0"/>
              <w:rPr>
                <w:rFonts w:cs="Arial"/>
                <w:sz w:val="22"/>
                <w:szCs w:val="22"/>
              </w:rPr>
            </w:pPr>
            <w:r w:rsidRPr="00E46CD2">
              <w:rPr>
                <w:rFonts w:cs="Arial"/>
                <w:sz w:val="22"/>
                <w:szCs w:val="22"/>
              </w:rPr>
              <w:t>(Surplus)/Deficit b/</w:t>
            </w:r>
            <w:proofErr w:type="spellStart"/>
            <w:r w:rsidRPr="00E46CD2">
              <w:rPr>
                <w:rFonts w:cs="Arial"/>
                <w:sz w:val="22"/>
                <w:szCs w:val="22"/>
              </w:rPr>
              <w:t>fwd</w:t>
            </w:r>
            <w:proofErr w:type="spellEnd"/>
          </w:p>
        </w:tc>
        <w:tc>
          <w:tcPr>
            <w:tcW w:w="1124" w:type="dxa"/>
            <w:shd w:val="clear" w:color="auto" w:fill="auto"/>
            <w:noWrap/>
            <w:vAlign w:val="bottom"/>
          </w:tcPr>
          <w:p w14:paraId="4FF55941" w14:textId="77777777" w:rsidR="00D95FC7" w:rsidRPr="00EF27AF" w:rsidRDefault="00A54864" w:rsidP="00D95FC7">
            <w:pPr>
              <w:spacing w:after="0"/>
              <w:jc w:val="right"/>
              <w:rPr>
                <w:color w:val="auto"/>
                <w:sz w:val="22"/>
                <w:szCs w:val="22"/>
              </w:rPr>
            </w:pPr>
            <w:r>
              <w:rPr>
                <w:color w:val="auto"/>
                <w:sz w:val="22"/>
                <w:szCs w:val="22"/>
              </w:rPr>
              <w:t>(5,307)</w:t>
            </w:r>
          </w:p>
        </w:tc>
        <w:tc>
          <w:tcPr>
            <w:tcW w:w="1356" w:type="dxa"/>
            <w:shd w:val="clear" w:color="auto" w:fill="auto"/>
            <w:noWrap/>
            <w:vAlign w:val="bottom"/>
          </w:tcPr>
          <w:p w14:paraId="126DE796" w14:textId="77777777" w:rsidR="00D95FC7" w:rsidRPr="00EF27AF" w:rsidRDefault="00A54864" w:rsidP="00E46CD2">
            <w:pPr>
              <w:spacing w:after="0"/>
              <w:jc w:val="right"/>
              <w:rPr>
                <w:color w:val="auto"/>
                <w:sz w:val="22"/>
                <w:szCs w:val="22"/>
              </w:rPr>
            </w:pPr>
            <w:r>
              <w:rPr>
                <w:color w:val="auto"/>
                <w:sz w:val="22"/>
                <w:szCs w:val="22"/>
              </w:rPr>
              <w:t>(</w:t>
            </w:r>
            <w:r w:rsidR="00E46CD2">
              <w:rPr>
                <w:color w:val="auto"/>
                <w:sz w:val="22"/>
                <w:szCs w:val="22"/>
              </w:rPr>
              <w:t>6,539)</w:t>
            </w:r>
          </w:p>
        </w:tc>
        <w:tc>
          <w:tcPr>
            <w:tcW w:w="1240" w:type="dxa"/>
            <w:shd w:val="clear" w:color="auto" w:fill="auto"/>
            <w:noWrap/>
            <w:vAlign w:val="bottom"/>
          </w:tcPr>
          <w:p w14:paraId="1D5A1839" w14:textId="77777777" w:rsidR="00D95FC7" w:rsidRPr="00EF27AF" w:rsidRDefault="00A54864" w:rsidP="00C86E8C">
            <w:pPr>
              <w:spacing w:after="0"/>
              <w:jc w:val="right"/>
              <w:rPr>
                <w:color w:val="auto"/>
                <w:sz w:val="22"/>
                <w:szCs w:val="22"/>
              </w:rPr>
            </w:pPr>
            <w:r>
              <w:rPr>
                <w:color w:val="auto"/>
                <w:sz w:val="22"/>
                <w:szCs w:val="22"/>
              </w:rPr>
              <w:t>(</w:t>
            </w:r>
            <w:r w:rsidR="00E46CD2">
              <w:rPr>
                <w:color w:val="auto"/>
                <w:sz w:val="22"/>
                <w:szCs w:val="22"/>
              </w:rPr>
              <w:t>2,</w:t>
            </w:r>
            <w:r w:rsidR="00C86E8C">
              <w:rPr>
                <w:color w:val="auto"/>
                <w:sz w:val="22"/>
                <w:szCs w:val="22"/>
              </w:rPr>
              <w:t>4</w:t>
            </w:r>
            <w:r w:rsidR="007D5F2D">
              <w:rPr>
                <w:color w:val="auto"/>
                <w:sz w:val="22"/>
                <w:szCs w:val="22"/>
              </w:rPr>
              <w:t>27</w:t>
            </w:r>
            <w:r>
              <w:rPr>
                <w:color w:val="auto"/>
                <w:sz w:val="22"/>
                <w:szCs w:val="22"/>
              </w:rPr>
              <w:t>)</w:t>
            </w:r>
          </w:p>
        </w:tc>
        <w:tc>
          <w:tcPr>
            <w:tcW w:w="1240" w:type="dxa"/>
            <w:shd w:val="clear" w:color="auto" w:fill="auto"/>
            <w:noWrap/>
            <w:vAlign w:val="bottom"/>
          </w:tcPr>
          <w:p w14:paraId="245FF510" w14:textId="77777777" w:rsidR="00D95FC7" w:rsidRPr="00EF27AF" w:rsidRDefault="00A54864" w:rsidP="00C86E8C">
            <w:pPr>
              <w:spacing w:after="0"/>
              <w:jc w:val="right"/>
              <w:rPr>
                <w:color w:val="auto"/>
                <w:sz w:val="22"/>
                <w:szCs w:val="22"/>
              </w:rPr>
            </w:pPr>
            <w:r>
              <w:rPr>
                <w:color w:val="auto"/>
                <w:sz w:val="22"/>
                <w:szCs w:val="22"/>
              </w:rPr>
              <w:t>(</w:t>
            </w:r>
            <w:r w:rsidR="00C86E8C">
              <w:rPr>
                <w:color w:val="auto"/>
                <w:sz w:val="22"/>
                <w:szCs w:val="22"/>
              </w:rPr>
              <w:t>3,965</w:t>
            </w:r>
            <w:r>
              <w:rPr>
                <w:color w:val="auto"/>
                <w:sz w:val="22"/>
                <w:szCs w:val="22"/>
              </w:rPr>
              <w:t>)</w:t>
            </w:r>
          </w:p>
        </w:tc>
      </w:tr>
      <w:tr w:rsidR="00D95FC7" w:rsidRPr="00EF27AF" w14:paraId="2B5CBE6B" w14:textId="77777777" w:rsidTr="00E1382D">
        <w:trPr>
          <w:trHeight w:val="288"/>
        </w:trPr>
        <w:tc>
          <w:tcPr>
            <w:tcW w:w="4420" w:type="dxa"/>
            <w:shd w:val="clear" w:color="auto" w:fill="auto"/>
            <w:noWrap/>
            <w:vAlign w:val="bottom"/>
          </w:tcPr>
          <w:p w14:paraId="5FDE566A" w14:textId="77777777" w:rsidR="00D95FC7" w:rsidRPr="00E46CD2" w:rsidRDefault="00D95FC7" w:rsidP="00D95FC7">
            <w:pPr>
              <w:spacing w:after="0"/>
              <w:rPr>
                <w:rFonts w:cs="Arial"/>
                <w:sz w:val="22"/>
                <w:szCs w:val="22"/>
              </w:rPr>
            </w:pPr>
          </w:p>
        </w:tc>
        <w:tc>
          <w:tcPr>
            <w:tcW w:w="1124" w:type="dxa"/>
            <w:shd w:val="clear" w:color="auto" w:fill="auto"/>
            <w:noWrap/>
            <w:vAlign w:val="bottom"/>
          </w:tcPr>
          <w:p w14:paraId="6FA60F79" w14:textId="77777777" w:rsidR="00D95FC7" w:rsidRPr="00EF27AF" w:rsidRDefault="00D95FC7" w:rsidP="00D95FC7">
            <w:pPr>
              <w:spacing w:after="0"/>
              <w:jc w:val="right"/>
              <w:rPr>
                <w:color w:val="auto"/>
                <w:sz w:val="22"/>
                <w:szCs w:val="22"/>
              </w:rPr>
            </w:pPr>
          </w:p>
        </w:tc>
        <w:tc>
          <w:tcPr>
            <w:tcW w:w="1356" w:type="dxa"/>
            <w:shd w:val="clear" w:color="auto" w:fill="auto"/>
            <w:noWrap/>
            <w:vAlign w:val="bottom"/>
          </w:tcPr>
          <w:p w14:paraId="50AC9589" w14:textId="77777777" w:rsidR="00D95FC7" w:rsidRPr="00EF27AF" w:rsidRDefault="00D95FC7" w:rsidP="00D95FC7">
            <w:pPr>
              <w:spacing w:after="0"/>
              <w:jc w:val="right"/>
              <w:rPr>
                <w:color w:val="auto"/>
                <w:sz w:val="22"/>
                <w:szCs w:val="22"/>
              </w:rPr>
            </w:pPr>
          </w:p>
        </w:tc>
        <w:tc>
          <w:tcPr>
            <w:tcW w:w="1240" w:type="dxa"/>
            <w:shd w:val="clear" w:color="auto" w:fill="auto"/>
            <w:noWrap/>
            <w:vAlign w:val="bottom"/>
          </w:tcPr>
          <w:p w14:paraId="07F176EC" w14:textId="77777777" w:rsidR="00D95FC7" w:rsidRPr="00EF27AF" w:rsidRDefault="00D95FC7" w:rsidP="00D95FC7">
            <w:pPr>
              <w:spacing w:after="0"/>
              <w:jc w:val="right"/>
              <w:rPr>
                <w:color w:val="auto"/>
                <w:sz w:val="22"/>
                <w:szCs w:val="22"/>
              </w:rPr>
            </w:pPr>
          </w:p>
        </w:tc>
        <w:tc>
          <w:tcPr>
            <w:tcW w:w="1240" w:type="dxa"/>
            <w:shd w:val="clear" w:color="auto" w:fill="auto"/>
            <w:noWrap/>
            <w:vAlign w:val="bottom"/>
          </w:tcPr>
          <w:p w14:paraId="556C0084" w14:textId="77777777" w:rsidR="00D95FC7" w:rsidRPr="00EF27AF" w:rsidRDefault="00D95FC7" w:rsidP="00D95FC7">
            <w:pPr>
              <w:spacing w:after="0"/>
              <w:jc w:val="right"/>
              <w:rPr>
                <w:color w:val="auto"/>
                <w:sz w:val="22"/>
                <w:szCs w:val="22"/>
              </w:rPr>
            </w:pPr>
          </w:p>
        </w:tc>
      </w:tr>
      <w:tr w:rsidR="00D95FC7" w:rsidRPr="00EF27AF" w14:paraId="034E53DC" w14:textId="77777777" w:rsidTr="00E1382D">
        <w:trPr>
          <w:trHeight w:val="288"/>
        </w:trPr>
        <w:tc>
          <w:tcPr>
            <w:tcW w:w="4420" w:type="dxa"/>
            <w:shd w:val="clear" w:color="auto" w:fill="auto"/>
            <w:noWrap/>
            <w:vAlign w:val="bottom"/>
          </w:tcPr>
          <w:p w14:paraId="2001C905" w14:textId="77777777" w:rsidR="00D95FC7" w:rsidRPr="00E46CD2" w:rsidRDefault="00D95FC7" w:rsidP="00D95FC7">
            <w:pPr>
              <w:spacing w:after="0"/>
              <w:rPr>
                <w:rFonts w:cs="Arial"/>
                <w:b/>
                <w:sz w:val="22"/>
                <w:szCs w:val="22"/>
              </w:rPr>
            </w:pPr>
            <w:r w:rsidRPr="00E46CD2">
              <w:rPr>
                <w:rFonts w:cs="Arial"/>
                <w:b/>
                <w:sz w:val="22"/>
                <w:szCs w:val="22"/>
              </w:rPr>
              <w:t>(Surplus)/Deficit c/</w:t>
            </w:r>
            <w:proofErr w:type="spellStart"/>
            <w:r w:rsidRPr="00E46CD2">
              <w:rPr>
                <w:rFonts w:cs="Arial"/>
                <w:b/>
                <w:sz w:val="22"/>
                <w:szCs w:val="22"/>
              </w:rPr>
              <w:t>fwd</w:t>
            </w:r>
            <w:proofErr w:type="spellEnd"/>
          </w:p>
        </w:tc>
        <w:tc>
          <w:tcPr>
            <w:tcW w:w="1124" w:type="dxa"/>
            <w:shd w:val="clear" w:color="auto" w:fill="auto"/>
            <w:noWrap/>
            <w:vAlign w:val="bottom"/>
          </w:tcPr>
          <w:p w14:paraId="7F89767E" w14:textId="77777777" w:rsidR="00D95FC7" w:rsidRPr="00EF27AF" w:rsidRDefault="00A54864" w:rsidP="00E46CD2">
            <w:pPr>
              <w:spacing w:after="0"/>
              <w:jc w:val="right"/>
              <w:rPr>
                <w:b/>
                <w:color w:val="auto"/>
                <w:sz w:val="22"/>
                <w:szCs w:val="22"/>
              </w:rPr>
            </w:pPr>
            <w:r>
              <w:rPr>
                <w:b/>
                <w:color w:val="auto"/>
                <w:sz w:val="22"/>
                <w:szCs w:val="22"/>
              </w:rPr>
              <w:t>(</w:t>
            </w:r>
            <w:r w:rsidR="00E46CD2">
              <w:rPr>
                <w:b/>
                <w:color w:val="auto"/>
                <w:sz w:val="22"/>
                <w:szCs w:val="22"/>
              </w:rPr>
              <w:t>6,539</w:t>
            </w:r>
            <w:r>
              <w:rPr>
                <w:b/>
                <w:color w:val="auto"/>
                <w:sz w:val="22"/>
                <w:szCs w:val="22"/>
              </w:rPr>
              <w:t>)</w:t>
            </w:r>
          </w:p>
        </w:tc>
        <w:tc>
          <w:tcPr>
            <w:tcW w:w="1356" w:type="dxa"/>
            <w:shd w:val="clear" w:color="auto" w:fill="auto"/>
            <w:noWrap/>
            <w:vAlign w:val="bottom"/>
          </w:tcPr>
          <w:p w14:paraId="5793AA05" w14:textId="77777777" w:rsidR="00D95FC7" w:rsidRPr="00EF27AF" w:rsidRDefault="00A54864" w:rsidP="00C86E8C">
            <w:pPr>
              <w:spacing w:after="0"/>
              <w:jc w:val="right"/>
              <w:rPr>
                <w:b/>
                <w:color w:val="auto"/>
                <w:sz w:val="22"/>
                <w:szCs w:val="22"/>
              </w:rPr>
            </w:pPr>
            <w:r>
              <w:rPr>
                <w:b/>
                <w:color w:val="auto"/>
                <w:sz w:val="22"/>
                <w:szCs w:val="22"/>
              </w:rPr>
              <w:t>(</w:t>
            </w:r>
            <w:r w:rsidR="00E46CD2">
              <w:rPr>
                <w:b/>
                <w:color w:val="auto"/>
                <w:sz w:val="22"/>
                <w:szCs w:val="22"/>
              </w:rPr>
              <w:t>2,</w:t>
            </w:r>
            <w:r w:rsidR="00C86E8C">
              <w:rPr>
                <w:b/>
                <w:color w:val="auto"/>
                <w:sz w:val="22"/>
                <w:szCs w:val="22"/>
              </w:rPr>
              <w:t>4</w:t>
            </w:r>
            <w:r w:rsidR="007D5F2D">
              <w:rPr>
                <w:b/>
                <w:color w:val="auto"/>
                <w:sz w:val="22"/>
                <w:szCs w:val="22"/>
              </w:rPr>
              <w:t>27</w:t>
            </w:r>
            <w:r>
              <w:rPr>
                <w:b/>
                <w:color w:val="auto"/>
                <w:sz w:val="22"/>
                <w:szCs w:val="22"/>
              </w:rPr>
              <w:t>)</w:t>
            </w:r>
          </w:p>
        </w:tc>
        <w:tc>
          <w:tcPr>
            <w:tcW w:w="1240" w:type="dxa"/>
            <w:shd w:val="clear" w:color="auto" w:fill="auto"/>
            <w:noWrap/>
            <w:vAlign w:val="bottom"/>
          </w:tcPr>
          <w:p w14:paraId="56EE7189" w14:textId="77777777" w:rsidR="00D95FC7" w:rsidRPr="00EF27AF" w:rsidRDefault="00A54864" w:rsidP="00C86E8C">
            <w:pPr>
              <w:spacing w:after="0"/>
              <w:jc w:val="right"/>
              <w:rPr>
                <w:b/>
                <w:color w:val="auto"/>
                <w:sz w:val="22"/>
                <w:szCs w:val="22"/>
              </w:rPr>
            </w:pPr>
            <w:r>
              <w:rPr>
                <w:b/>
                <w:color w:val="auto"/>
                <w:sz w:val="22"/>
                <w:szCs w:val="22"/>
              </w:rPr>
              <w:t>(</w:t>
            </w:r>
            <w:r w:rsidR="00C86E8C">
              <w:rPr>
                <w:b/>
                <w:color w:val="auto"/>
                <w:sz w:val="22"/>
                <w:szCs w:val="22"/>
              </w:rPr>
              <w:t>3</w:t>
            </w:r>
            <w:r w:rsidR="00E46CD2">
              <w:rPr>
                <w:b/>
                <w:color w:val="auto"/>
                <w:sz w:val="22"/>
                <w:szCs w:val="22"/>
              </w:rPr>
              <w:t>,</w:t>
            </w:r>
            <w:r w:rsidR="00C86E8C">
              <w:rPr>
                <w:b/>
                <w:color w:val="auto"/>
                <w:sz w:val="22"/>
                <w:szCs w:val="22"/>
              </w:rPr>
              <w:t>965</w:t>
            </w:r>
            <w:r w:rsidR="00E46CD2">
              <w:rPr>
                <w:b/>
                <w:color w:val="auto"/>
                <w:sz w:val="22"/>
                <w:szCs w:val="22"/>
              </w:rPr>
              <w:t>)</w:t>
            </w:r>
          </w:p>
        </w:tc>
        <w:tc>
          <w:tcPr>
            <w:tcW w:w="1240" w:type="dxa"/>
            <w:shd w:val="clear" w:color="auto" w:fill="auto"/>
            <w:noWrap/>
            <w:vAlign w:val="bottom"/>
          </w:tcPr>
          <w:p w14:paraId="148667F1" w14:textId="77777777" w:rsidR="00D95FC7" w:rsidRPr="00EF27AF" w:rsidRDefault="00E46CD2" w:rsidP="00C86E8C">
            <w:pPr>
              <w:spacing w:after="0"/>
              <w:jc w:val="right"/>
              <w:rPr>
                <w:b/>
                <w:color w:val="auto"/>
                <w:sz w:val="22"/>
                <w:szCs w:val="22"/>
              </w:rPr>
            </w:pPr>
            <w:r>
              <w:rPr>
                <w:b/>
                <w:color w:val="auto"/>
                <w:sz w:val="22"/>
                <w:szCs w:val="22"/>
              </w:rPr>
              <w:t>(2,</w:t>
            </w:r>
            <w:r w:rsidR="00C86E8C">
              <w:rPr>
                <w:b/>
                <w:color w:val="auto"/>
                <w:sz w:val="22"/>
                <w:szCs w:val="22"/>
              </w:rPr>
              <w:t>4</w:t>
            </w:r>
            <w:r w:rsidR="007D5F2D">
              <w:rPr>
                <w:b/>
                <w:color w:val="auto"/>
                <w:sz w:val="22"/>
                <w:szCs w:val="22"/>
              </w:rPr>
              <w:t>55</w:t>
            </w:r>
            <w:r>
              <w:rPr>
                <w:b/>
                <w:color w:val="auto"/>
                <w:sz w:val="22"/>
                <w:szCs w:val="22"/>
              </w:rPr>
              <w:t>)</w:t>
            </w:r>
          </w:p>
        </w:tc>
      </w:tr>
      <w:tr w:rsidR="00D95FC7" w:rsidRPr="00EF27AF" w14:paraId="2B2A744C" w14:textId="77777777" w:rsidTr="00E1382D">
        <w:trPr>
          <w:trHeight w:val="288"/>
        </w:trPr>
        <w:tc>
          <w:tcPr>
            <w:tcW w:w="4420" w:type="dxa"/>
            <w:shd w:val="clear" w:color="auto" w:fill="auto"/>
            <w:noWrap/>
            <w:vAlign w:val="bottom"/>
          </w:tcPr>
          <w:p w14:paraId="6EF3C116" w14:textId="77777777" w:rsidR="00D95FC7" w:rsidRPr="00EF27AF" w:rsidRDefault="00D95FC7" w:rsidP="00D95FC7">
            <w:pPr>
              <w:spacing w:after="0"/>
              <w:rPr>
                <w:rFonts w:cs="Arial"/>
                <w:sz w:val="22"/>
                <w:szCs w:val="22"/>
              </w:rPr>
            </w:pPr>
          </w:p>
        </w:tc>
        <w:tc>
          <w:tcPr>
            <w:tcW w:w="1124" w:type="dxa"/>
            <w:shd w:val="clear" w:color="auto" w:fill="auto"/>
            <w:noWrap/>
            <w:vAlign w:val="bottom"/>
          </w:tcPr>
          <w:p w14:paraId="1843629B" w14:textId="77777777" w:rsidR="00D95FC7" w:rsidRPr="00EF27AF" w:rsidRDefault="00D95FC7" w:rsidP="00D95FC7">
            <w:pPr>
              <w:spacing w:after="0"/>
              <w:jc w:val="right"/>
              <w:rPr>
                <w:color w:val="auto"/>
                <w:sz w:val="22"/>
                <w:szCs w:val="22"/>
              </w:rPr>
            </w:pPr>
          </w:p>
        </w:tc>
        <w:tc>
          <w:tcPr>
            <w:tcW w:w="1356" w:type="dxa"/>
            <w:shd w:val="clear" w:color="auto" w:fill="auto"/>
            <w:noWrap/>
            <w:vAlign w:val="bottom"/>
          </w:tcPr>
          <w:p w14:paraId="6C2A9738" w14:textId="77777777" w:rsidR="00D95FC7" w:rsidRPr="00EF27AF" w:rsidRDefault="00D95FC7" w:rsidP="00D95FC7">
            <w:pPr>
              <w:spacing w:after="0"/>
              <w:jc w:val="right"/>
              <w:rPr>
                <w:color w:val="auto"/>
                <w:sz w:val="22"/>
                <w:szCs w:val="22"/>
              </w:rPr>
            </w:pPr>
          </w:p>
        </w:tc>
        <w:tc>
          <w:tcPr>
            <w:tcW w:w="1240" w:type="dxa"/>
            <w:shd w:val="clear" w:color="auto" w:fill="auto"/>
            <w:noWrap/>
            <w:vAlign w:val="bottom"/>
          </w:tcPr>
          <w:p w14:paraId="38F8210D" w14:textId="77777777" w:rsidR="00D95FC7" w:rsidRPr="00EF27AF" w:rsidRDefault="00D95FC7" w:rsidP="00D95FC7">
            <w:pPr>
              <w:spacing w:after="0"/>
              <w:jc w:val="right"/>
              <w:rPr>
                <w:color w:val="auto"/>
                <w:sz w:val="22"/>
                <w:szCs w:val="22"/>
              </w:rPr>
            </w:pPr>
          </w:p>
        </w:tc>
        <w:tc>
          <w:tcPr>
            <w:tcW w:w="1240" w:type="dxa"/>
            <w:shd w:val="clear" w:color="auto" w:fill="auto"/>
            <w:noWrap/>
            <w:vAlign w:val="bottom"/>
          </w:tcPr>
          <w:p w14:paraId="2218C42B" w14:textId="77777777" w:rsidR="00D95FC7" w:rsidRPr="00EF27AF" w:rsidRDefault="00D95FC7" w:rsidP="00D95FC7">
            <w:pPr>
              <w:spacing w:after="0"/>
              <w:jc w:val="right"/>
              <w:rPr>
                <w:color w:val="auto"/>
                <w:sz w:val="22"/>
                <w:szCs w:val="22"/>
              </w:rPr>
            </w:pPr>
          </w:p>
        </w:tc>
      </w:tr>
    </w:tbl>
    <w:p w14:paraId="16BC56D0" w14:textId="77777777" w:rsidR="00D95FC7" w:rsidRPr="00EF27AF" w:rsidRDefault="00D95FC7" w:rsidP="00D95FC7">
      <w:pPr>
        <w:autoSpaceDE w:val="0"/>
        <w:autoSpaceDN w:val="0"/>
        <w:adjustRightInd w:val="0"/>
        <w:spacing w:after="0"/>
        <w:ind w:left="567" w:right="380" w:hanging="567"/>
        <w:jc w:val="both"/>
        <w:rPr>
          <w:rFonts w:cs="Arial"/>
          <w:color w:val="auto"/>
          <w:lang w:eastAsia="en-US"/>
        </w:rPr>
      </w:pPr>
    </w:p>
    <w:p w14:paraId="778DA6DF" w14:textId="77777777" w:rsidR="009C1B2A" w:rsidRDefault="009C1B2A">
      <w:pPr>
        <w:spacing w:after="0"/>
        <w:rPr>
          <w:b/>
        </w:rPr>
      </w:pPr>
      <w:r>
        <w:br w:type="page"/>
      </w:r>
    </w:p>
    <w:p w14:paraId="525B1CD0" w14:textId="36A51E71" w:rsidR="003A4AA5" w:rsidRPr="00EF27AF" w:rsidRDefault="003A4AA5" w:rsidP="00FC3B51">
      <w:pPr>
        <w:pStyle w:val="Heading1"/>
      </w:pPr>
      <w:r w:rsidRPr="00EF27AF">
        <w:lastRenderedPageBreak/>
        <w:t>Key Assumptions</w:t>
      </w:r>
    </w:p>
    <w:p w14:paraId="0C6D3AB2" w14:textId="412BDD03" w:rsidR="003A4AA5" w:rsidRPr="00EF27AF" w:rsidRDefault="003A4AA5" w:rsidP="00135ABC">
      <w:pPr>
        <w:pStyle w:val="bParagraphtext"/>
        <w:numPr>
          <w:ilvl w:val="0"/>
          <w:numId w:val="40"/>
        </w:numPr>
        <w:tabs>
          <w:tab w:val="clear" w:pos="426"/>
          <w:tab w:val="left" w:pos="420"/>
        </w:tabs>
        <w:ind w:hanging="1052"/>
      </w:pPr>
      <w:r w:rsidRPr="00EF27AF">
        <w:t>Key assumptions</w:t>
      </w:r>
      <w:r w:rsidR="009C1B2A">
        <w:t xml:space="preserve"> included in the budget include</w:t>
      </w:r>
      <w:r w:rsidRPr="00EF27AF">
        <w:t>:</w:t>
      </w:r>
    </w:p>
    <w:p w14:paraId="55717E0D" w14:textId="77777777" w:rsidR="00CB3188" w:rsidRPr="00EF27AF" w:rsidRDefault="00CB3188" w:rsidP="00CB3188">
      <w:pPr>
        <w:pStyle w:val="Bulletpoints"/>
        <w:ind w:left="851"/>
      </w:pPr>
      <w:r w:rsidRPr="00EF27AF">
        <w:rPr>
          <w:b/>
        </w:rPr>
        <w:t xml:space="preserve">Inflation </w:t>
      </w:r>
      <w:r w:rsidRPr="00EF27AF">
        <w:t xml:space="preserve">- All the assumptions for inflation are the same as for the Council’s General Fund. </w:t>
      </w:r>
    </w:p>
    <w:p w14:paraId="7DFDAC2F" w14:textId="77777777" w:rsidR="00870BB3" w:rsidRPr="00EF27AF" w:rsidRDefault="003A4AA5" w:rsidP="00983F99">
      <w:pPr>
        <w:pStyle w:val="ListParagraph"/>
        <w:numPr>
          <w:ilvl w:val="0"/>
          <w:numId w:val="8"/>
        </w:numPr>
        <w:tabs>
          <w:tab w:val="clear" w:pos="426"/>
        </w:tabs>
        <w:autoSpaceDE w:val="0"/>
        <w:autoSpaceDN w:val="0"/>
        <w:adjustRightInd w:val="0"/>
        <w:ind w:left="851" w:right="380" w:hanging="425"/>
        <w:jc w:val="both"/>
        <w:rPr>
          <w:rFonts w:cs="Arial"/>
          <w:b/>
          <w:color w:val="auto"/>
        </w:rPr>
      </w:pPr>
      <w:r w:rsidRPr="00EF27AF">
        <w:rPr>
          <w:b/>
        </w:rPr>
        <w:t>HRA working balance</w:t>
      </w:r>
      <w:r w:rsidRPr="00EF27AF">
        <w:t xml:space="preserve"> </w:t>
      </w:r>
      <w:r w:rsidR="00870BB3" w:rsidRPr="00EF27AF">
        <w:rPr>
          <w:rFonts w:cs="Arial"/>
          <w:color w:val="auto"/>
        </w:rPr>
        <w:t>The working balance levels allow sufficient monies for the funding of future years’ Capital Programme, the repayment of the debt, as well as an amount of £</w:t>
      </w:r>
      <w:r w:rsidR="00D95FC7" w:rsidRPr="00EF27AF">
        <w:rPr>
          <w:rFonts w:cs="Arial"/>
          <w:color w:val="auto"/>
        </w:rPr>
        <w:t>3.5</w:t>
      </w:r>
      <w:r w:rsidR="00870BB3" w:rsidRPr="00EF27AF">
        <w:rPr>
          <w:rFonts w:cs="Arial"/>
          <w:color w:val="auto"/>
        </w:rPr>
        <w:t xml:space="preserve"> million as being the minimum required to cover unexpected events such as falling investment income or increased costs. </w:t>
      </w:r>
    </w:p>
    <w:p w14:paraId="07C383C2" w14:textId="77777777" w:rsidR="00CB3188" w:rsidRPr="008B0B44" w:rsidRDefault="008726DE" w:rsidP="00983F99">
      <w:pPr>
        <w:pStyle w:val="ListParagraph"/>
        <w:numPr>
          <w:ilvl w:val="0"/>
          <w:numId w:val="9"/>
        </w:numPr>
        <w:tabs>
          <w:tab w:val="clear" w:pos="426"/>
        </w:tabs>
        <w:spacing w:after="0"/>
        <w:ind w:left="851" w:hanging="425"/>
        <w:rPr>
          <w:rFonts w:eastAsia="Calibri" w:cs="Arial"/>
          <w:color w:val="auto"/>
        </w:rPr>
      </w:pPr>
      <w:r w:rsidRPr="00EF27AF">
        <w:rPr>
          <w:b/>
        </w:rPr>
        <w:t>New dwellings</w:t>
      </w:r>
      <w:r w:rsidRPr="00EF27AF">
        <w:t xml:space="preserve"> - </w:t>
      </w:r>
      <w:r w:rsidR="00D95FC7" w:rsidRPr="00EF27AF">
        <w:rPr>
          <w:rFonts w:cs="Arial"/>
        </w:rPr>
        <w:t>The HRA BP assumes that it will continue to purchase the affordable housing from OCHL’s 1</w:t>
      </w:r>
      <w:r w:rsidR="000C1355">
        <w:rPr>
          <w:rFonts w:cs="Arial"/>
        </w:rPr>
        <w:t>0 year development programme 1,2</w:t>
      </w:r>
      <w:r w:rsidR="00D95FC7" w:rsidRPr="00EF27AF">
        <w:rPr>
          <w:rFonts w:cs="Arial"/>
        </w:rPr>
        <w:t xml:space="preserve">14 </w:t>
      </w:r>
      <w:r w:rsidR="00D95FC7" w:rsidRPr="008B0B44">
        <w:rPr>
          <w:rFonts w:cs="Arial"/>
        </w:rPr>
        <w:t>properties within an overall budget envelope of £367 m before grant and share ownership sales, £289 m when these are taken into account.</w:t>
      </w:r>
      <w:r w:rsidR="0073275D" w:rsidRPr="008B0B44">
        <w:rPr>
          <w:rFonts w:cs="Arial"/>
        </w:rPr>
        <w:t xml:space="preserve"> </w:t>
      </w:r>
      <w:r w:rsidR="00626D4F">
        <w:rPr>
          <w:rFonts w:cs="Arial"/>
        </w:rPr>
        <w:t>Additionally another 89 dwellings are planned through direct development on the HRA</w:t>
      </w:r>
    </w:p>
    <w:p w14:paraId="72A2668A" w14:textId="77777777" w:rsidR="00870BB3" w:rsidRPr="008B0B44" w:rsidRDefault="00CB3188" w:rsidP="00983F99">
      <w:pPr>
        <w:pStyle w:val="ListParagraph"/>
        <w:numPr>
          <w:ilvl w:val="0"/>
          <w:numId w:val="9"/>
        </w:numPr>
        <w:tabs>
          <w:tab w:val="clear" w:pos="426"/>
        </w:tabs>
        <w:spacing w:after="0"/>
        <w:ind w:left="851" w:hanging="425"/>
        <w:rPr>
          <w:rFonts w:eastAsia="Calibri" w:cs="Arial"/>
          <w:color w:val="auto"/>
        </w:rPr>
      </w:pPr>
      <w:r w:rsidRPr="008B0B44">
        <w:rPr>
          <w:b/>
        </w:rPr>
        <w:t>Debt-</w:t>
      </w:r>
      <w:r w:rsidRPr="008B0B44">
        <w:rPr>
          <w:rFonts w:cs="Arial"/>
        </w:rPr>
        <w:t xml:space="preserve"> Debt will rise from £30</w:t>
      </w:r>
      <w:r w:rsidR="00EF27AF" w:rsidRPr="008B0B44">
        <w:rPr>
          <w:rFonts w:cs="Arial"/>
        </w:rPr>
        <w:t>9</w:t>
      </w:r>
      <w:r w:rsidRPr="008B0B44">
        <w:rPr>
          <w:rFonts w:cs="Arial"/>
        </w:rPr>
        <w:t xml:space="preserve"> million </w:t>
      </w:r>
      <w:r w:rsidR="00EA3282" w:rsidRPr="008B0B44">
        <w:rPr>
          <w:rFonts w:cs="Arial"/>
        </w:rPr>
        <w:t>i</w:t>
      </w:r>
      <w:r w:rsidRPr="008B0B44">
        <w:rPr>
          <w:rFonts w:cs="Arial"/>
        </w:rPr>
        <w:t>n 2022-23 to peak debt of £</w:t>
      </w:r>
      <w:r w:rsidR="00EF27AF" w:rsidRPr="008B0B44">
        <w:rPr>
          <w:rFonts w:cs="Arial"/>
        </w:rPr>
        <w:t>636</w:t>
      </w:r>
      <w:r w:rsidRPr="008B0B44">
        <w:rPr>
          <w:rFonts w:cs="Arial"/>
        </w:rPr>
        <w:t xml:space="preserve"> million in 20</w:t>
      </w:r>
      <w:r w:rsidR="00EF27AF" w:rsidRPr="008B0B44">
        <w:rPr>
          <w:rFonts w:cs="Arial"/>
        </w:rPr>
        <w:t>30</w:t>
      </w:r>
      <w:r w:rsidRPr="008B0B44">
        <w:rPr>
          <w:rFonts w:cs="Arial"/>
        </w:rPr>
        <w:t>-</w:t>
      </w:r>
      <w:r w:rsidR="00EF27AF" w:rsidRPr="008B0B44">
        <w:rPr>
          <w:rFonts w:cs="Arial"/>
        </w:rPr>
        <w:t>31</w:t>
      </w:r>
    </w:p>
    <w:p w14:paraId="5B44BDC2" w14:textId="77777777" w:rsidR="008B0B44" w:rsidRPr="008B0B44" w:rsidRDefault="00D95FC7" w:rsidP="00A54864">
      <w:pPr>
        <w:pStyle w:val="ListParagraph"/>
        <w:numPr>
          <w:ilvl w:val="0"/>
          <w:numId w:val="9"/>
        </w:numPr>
        <w:tabs>
          <w:tab w:val="clear" w:pos="426"/>
        </w:tabs>
        <w:spacing w:after="0"/>
        <w:ind w:left="851" w:hanging="425"/>
      </w:pPr>
      <w:r w:rsidRPr="008B0B44">
        <w:rPr>
          <w:rFonts w:cs="Arial"/>
          <w:b/>
        </w:rPr>
        <w:t>Disposals -</w:t>
      </w:r>
      <w:r w:rsidRPr="008B0B44">
        <w:rPr>
          <w:rFonts w:cs="Arial"/>
        </w:rPr>
        <w:t xml:space="preserve"> Disposal of around </w:t>
      </w:r>
      <w:r w:rsidR="008B0B44" w:rsidRPr="008B0B44">
        <w:rPr>
          <w:rFonts w:cs="Arial"/>
        </w:rPr>
        <w:t>2</w:t>
      </w:r>
      <w:r w:rsidRPr="008B0B44">
        <w:rPr>
          <w:rFonts w:cs="Arial"/>
        </w:rPr>
        <w:t xml:space="preserve">0 dwellings per year </w:t>
      </w:r>
      <w:r w:rsidR="008B0B44" w:rsidRPr="008B0B44">
        <w:rPr>
          <w:rFonts w:cs="Arial"/>
        </w:rPr>
        <w:t>are</w:t>
      </w:r>
      <w:r w:rsidRPr="008B0B44">
        <w:rPr>
          <w:rFonts w:cs="Arial"/>
        </w:rPr>
        <w:t xml:space="preserve"> assumed. </w:t>
      </w:r>
    </w:p>
    <w:p w14:paraId="77309E9B" w14:textId="77777777" w:rsidR="00D95FC7" w:rsidRPr="008B0B44" w:rsidRDefault="008726DE" w:rsidP="00A54864">
      <w:pPr>
        <w:pStyle w:val="ListParagraph"/>
        <w:numPr>
          <w:ilvl w:val="0"/>
          <w:numId w:val="9"/>
        </w:numPr>
        <w:tabs>
          <w:tab w:val="clear" w:pos="426"/>
        </w:tabs>
        <w:spacing w:after="0"/>
        <w:ind w:left="851" w:hanging="425"/>
      </w:pPr>
      <w:r w:rsidRPr="008B0B44">
        <w:rPr>
          <w:b/>
        </w:rPr>
        <w:t>Rent increase</w:t>
      </w:r>
      <w:r w:rsidRPr="008B0B44">
        <w:t xml:space="preserve"> </w:t>
      </w:r>
      <w:r w:rsidR="008B0B44" w:rsidRPr="008B0B44">
        <w:t>– The chancellors Autumn Budget speech on the 17</w:t>
      </w:r>
      <w:r w:rsidR="008B0B44" w:rsidRPr="008B0B44">
        <w:rPr>
          <w:vertAlign w:val="superscript"/>
        </w:rPr>
        <w:t>th</w:t>
      </w:r>
      <w:r w:rsidR="008B0B44" w:rsidRPr="008B0B44">
        <w:t xml:space="preserve"> November 2022 announced a capping of rent rises for 2023-24 at 7% following </w:t>
      </w:r>
      <w:r w:rsidR="00977030" w:rsidRPr="008B0B44">
        <w:t>the</w:t>
      </w:r>
      <w:r w:rsidR="008B0B44" w:rsidRPr="008B0B44">
        <w:t xml:space="preserve"> consultation exercise. </w:t>
      </w:r>
    </w:p>
    <w:p w14:paraId="1F418610" w14:textId="77777777" w:rsidR="00D95FC7" w:rsidRPr="008B0B44" w:rsidRDefault="00D95FC7" w:rsidP="00E1382D">
      <w:pPr>
        <w:pStyle w:val="Bulletpoints"/>
        <w:ind w:left="851"/>
      </w:pPr>
      <w:r w:rsidRPr="008B0B44">
        <w:rPr>
          <w:rFonts w:cs="Arial"/>
          <w:b/>
        </w:rPr>
        <w:t>Service charges</w:t>
      </w:r>
      <w:r w:rsidRPr="008B0B44">
        <w:rPr>
          <w:rFonts w:cs="Arial"/>
        </w:rPr>
        <w:t xml:space="preserve"> such as caretaking, cleaning, CCTV, communal areas etc. will be increased by </w:t>
      </w:r>
      <w:r w:rsidR="008B0B44" w:rsidRPr="008B0B44">
        <w:rPr>
          <w:rFonts w:cs="Arial"/>
        </w:rPr>
        <w:t>CP</w:t>
      </w:r>
      <w:r w:rsidRPr="008B0B44">
        <w:rPr>
          <w:rFonts w:cs="Arial"/>
        </w:rPr>
        <w:t xml:space="preserve">I at </w:t>
      </w:r>
      <w:r w:rsidR="008B0B44" w:rsidRPr="008B0B44">
        <w:rPr>
          <w:rFonts w:cs="Arial"/>
        </w:rPr>
        <w:t>1</w:t>
      </w:r>
      <w:r w:rsidRPr="008B0B44">
        <w:rPr>
          <w:rFonts w:cs="Arial"/>
        </w:rPr>
        <w:t>% across all tenure types in the HRA</w:t>
      </w:r>
    </w:p>
    <w:p w14:paraId="2FC0E111" w14:textId="77777777" w:rsidR="00D95FC7" w:rsidRPr="008B0B44" w:rsidRDefault="00D95FC7" w:rsidP="00E1382D">
      <w:pPr>
        <w:pStyle w:val="Bulletpoints"/>
        <w:ind w:left="851"/>
      </w:pPr>
      <w:r w:rsidRPr="008B0B44">
        <w:rPr>
          <w:rFonts w:cs="Arial"/>
          <w:b/>
        </w:rPr>
        <w:t>The Furnished Tenancy</w:t>
      </w:r>
      <w:r w:rsidRPr="008B0B44">
        <w:rPr>
          <w:rFonts w:cs="Arial"/>
        </w:rPr>
        <w:t xml:space="preserve"> multiplier in respect of charges to tenants who take up the offer of the provision of white goods and other fittings at the start of a new tenancy is </w:t>
      </w:r>
      <w:r w:rsidR="008B0B44" w:rsidRPr="008B0B44">
        <w:rPr>
          <w:rFonts w:cs="Arial"/>
        </w:rPr>
        <w:t xml:space="preserve">unchanged at </w:t>
      </w:r>
      <w:r w:rsidRPr="008B0B44">
        <w:rPr>
          <w:rFonts w:cs="Arial"/>
        </w:rPr>
        <w:t>1.5155.</w:t>
      </w:r>
    </w:p>
    <w:p w14:paraId="15870712" w14:textId="77777777" w:rsidR="00902E5A" w:rsidRPr="008B0B44" w:rsidRDefault="00902E5A" w:rsidP="00A02648">
      <w:pPr>
        <w:pStyle w:val="Heading1"/>
      </w:pPr>
      <w:r w:rsidRPr="008B0B44">
        <w:t>Risk Implications</w:t>
      </w:r>
    </w:p>
    <w:p w14:paraId="7826F25C" w14:textId="77777777" w:rsidR="00CB3188" w:rsidRPr="008B0B44" w:rsidRDefault="00CB3188" w:rsidP="00135ABC">
      <w:pPr>
        <w:pStyle w:val="ListParagraph"/>
        <w:numPr>
          <w:ilvl w:val="0"/>
          <w:numId w:val="40"/>
        </w:numPr>
        <w:tabs>
          <w:tab w:val="clear" w:pos="426"/>
          <w:tab w:val="left" w:pos="462"/>
        </w:tabs>
        <w:autoSpaceDE w:val="0"/>
        <w:autoSpaceDN w:val="0"/>
        <w:adjustRightInd w:val="0"/>
        <w:spacing w:after="0"/>
        <w:ind w:left="462" w:right="380" w:hanging="448"/>
        <w:jc w:val="both"/>
        <w:rPr>
          <w:color w:val="auto"/>
        </w:rPr>
      </w:pPr>
      <w:r w:rsidRPr="008B0B44">
        <w:rPr>
          <w:color w:val="auto"/>
        </w:rPr>
        <w:lastRenderedPageBreak/>
        <w:t>The main risks to the balanced position of the HRA are summarised below and detailed in Appendix 8:</w:t>
      </w:r>
    </w:p>
    <w:p w14:paraId="092CB5CD" w14:textId="77777777" w:rsidR="00CB3188" w:rsidRPr="008B0B44" w:rsidRDefault="00CB3188" w:rsidP="00CB3188">
      <w:pPr>
        <w:autoSpaceDE w:val="0"/>
        <w:autoSpaceDN w:val="0"/>
        <w:adjustRightInd w:val="0"/>
        <w:spacing w:after="0"/>
        <w:ind w:left="709" w:right="380" w:hanging="709"/>
        <w:jc w:val="both"/>
        <w:rPr>
          <w:color w:val="auto"/>
          <w:lang w:eastAsia="en-US"/>
        </w:rPr>
      </w:pPr>
    </w:p>
    <w:p w14:paraId="13472F0D" w14:textId="77777777" w:rsidR="00CB3188" w:rsidRPr="008B0B44" w:rsidRDefault="00CB3188" w:rsidP="009C1B2A">
      <w:pPr>
        <w:numPr>
          <w:ilvl w:val="3"/>
          <w:numId w:val="10"/>
        </w:numPr>
        <w:tabs>
          <w:tab w:val="clear" w:pos="2880"/>
          <w:tab w:val="num" w:pos="3600"/>
        </w:tabs>
        <w:autoSpaceDE w:val="0"/>
        <w:autoSpaceDN w:val="0"/>
        <w:adjustRightInd w:val="0"/>
        <w:spacing w:after="0"/>
        <w:ind w:left="868" w:right="380" w:hanging="406"/>
        <w:rPr>
          <w:rFonts w:cs="Arial"/>
          <w:color w:val="auto"/>
          <w:lang w:eastAsia="en-US"/>
        </w:rPr>
      </w:pPr>
      <w:r w:rsidRPr="008B0B44">
        <w:rPr>
          <w:rFonts w:cs="Arial"/>
          <w:color w:val="auto"/>
          <w:lang w:eastAsia="en-US"/>
        </w:rPr>
        <w:t>Increase in interest rates together with the requirement to stay within prudent covenants such as interest cover will restrict the amount of activity in the HRA especially in the early years of the business plan.</w:t>
      </w:r>
    </w:p>
    <w:p w14:paraId="2CE4B454" w14:textId="77777777" w:rsidR="00CB3188" w:rsidRPr="008B0B44" w:rsidRDefault="00CB3188" w:rsidP="009C1B2A">
      <w:pPr>
        <w:numPr>
          <w:ilvl w:val="3"/>
          <w:numId w:val="10"/>
        </w:numPr>
        <w:tabs>
          <w:tab w:val="clear" w:pos="2880"/>
          <w:tab w:val="num" w:pos="3600"/>
        </w:tabs>
        <w:autoSpaceDE w:val="0"/>
        <w:autoSpaceDN w:val="0"/>
        <w:adjustRightInd w:val="0"/>
        <w:spacing w:after="0"/>
        <w:ind w:left="868" w:right="380" w:hanging="406"/>
        <w:rPr>
          <w:rFonts w:cs="Arial"/>
          <w:color w:val="auto"/>
          <w:lang w:eastAsia="en-US"/>
        </w:rPr>
      </w:pPr>
      <w:r w:rsidRPr="008B0B44">
        <w:rPr>
          <w:rFonts w:cs="Arial"/>
          <w:color w:val="auto"/>
          <w:lang w:eastAsia="en-US"/>
        </w:rPr>
        <w:t xml:space="preserve">Increased arrears due to benefit changes arising from aftermath of </w:t>
      </w:r>
      <w:r w:rsidRPr="008B0B44">
        <w:rPr>
          <w:rFonts w:cs="Arial"/>
          <w:color w:val="auto"/>
          <w:lang w:eastAsia="en-US"/>
        </w:rPr>
        <w:br/>
        <w:t>COVID 19</w:t>
      </w:r>
    </w:p>
    <w:p w14:paraId="5CE6D39B" w14:textId="77777777" w:rsidR="00CB3188" w:rsidRPr="009E6C62" w:rsidRDefault="00CB3188" w:rsidP="009C1B2A">
      <w:pPr>
        <w:numPr>
          <w:ilvl w:val="3"/>
          <w:numId w:val="10"/>
        </w:numPr>
        <w:tabs>
          <w:tab w:val="clear" w:pos="2880"/>
          <w:tab w:val="num" w:pos="3600"/>
        </w:tabs>
        <w:autoSpaceDE w:val="0"/>
        <w:autoSpaceDN w:val="0"/>
        <w:adjustRightInd w:val="0"/>
        <w:spacing w:after="0"/>
        <w:ind w:left="868" w:right="380" w:hanging="406"/>
        <w:rPr>
          <w:rFonts w:cs="Arial"/>
          <w:color w:val="auto"/>
          <w:lang w:eastAsia="en-US"/>
        </w:rPr>
      </w:pPr>
      <w:r w:rsidRPr="009E6C62">
        <w:rPr>
          <w:rFonts w:cs="Arial"/>
          <w:color w:val="auto"/>
          <w:lang w:eastAsia="en-US"/>
        </w:rPr>
        <w:t xml:space="preserve">Construction delays in Housing Company and subsequent effect on capital spend on new housing and net rental streams </w:t>
      </w:r>
    </w:p>
    <w:p w14:paraId="1E50BA07" w14:textId="294CE21E" w:rsidR="00CB3188" w:rsidRPr="009E6C62" w:rsidRDefault="00CB3188" w:rsidP="009C1B2A">
      <w:pPr>
        <w:numPr>
          <w:ilvl w:val="3"/>
          <w:numId w:val="10"/>
        </w:numPr>
        <w:tabs>
          <w:tab w:val="clear" w:pos="2880"/>
          <w:tab w:val="num" w:pos="1701"/>
          <w:tab w:val="num" w:pos="3600"/>
        </w:tabs>
        <w:autoSpaceDE w:val="0"/>
        <w:autoSpaceDN w:val="0"/>
        <w:adjustRightInd w:val="0"/>
        <w:spacing w:after="0"/>
        <w:ind w:left="868" w:right="380" w:hanging="406"/>
        <w:jc w:val="both"/>
        <w:rPr>
          <w:rFonts w:cs="Arial"/>
          <w:color w:val="auto"/>
          <w:lang w:eastAsia="en-US"/>
        </w:rPr>
      </w:pPr>
      <w:r w:rsidRPr="009E6C62">
        <w:rPr>
          <w:rFonts w:cs="Arial"/>
          <w:color w:val="auto"/>
          <w:lang w:eastAsia="en-US"/>
        </w:rPr>
        <w:t>Variations in estimates causing cash flow problems</w:t>
      </w:r>
      <w:r w:rsidR="009C1B2A">
        <w:rPr>
          <w:rFonts w:cs="Arial"/>
          <w:color w:val="auto"/>
          <w:lang w:eastAsia="en-US"/>
        </w:rPr>
        <w:t>.</w:t>
      </w:r>
    </w:p>
    <w:p w14:paraId="19FD546B" w14:textId="77777777" w:rsidR="002719F1" w:rsidRPr="009E6C62" w:rsidRDefault="000731FA" w:rsidP="00870BB3">
      <w:pPr>
        <w:pStyle w:val="Heading1"/>
      </w:pPr>
      <w:r w:rsidRPr="009E6C62">
        <w:t>Section C</w:t>
      </w:r>
      <w:r w:rsidR="002719F1" w:rsidRPr="009E6C62">
        <w:t xml:space="preserve"> Capital </w:t>
      </w:r>
      <w:r w:rsidR="002468A6" w:rsidRPr="009E6C62">
        <w:t>Programme</w:t>
      </w:r>
    </w:p>
    <w:p w14:paraId="269C575A" w14:textId="0DFE79C1" w:rsidR="002719F1" w:rsidRPr="009E6C62" w:rsidRDefault="00135ABC" w:rsidP="0070539C">
      <w:pPr>
        <w:pStyle w:val="bParagraphtext"/>
        <w:numPr>
          <w:ilvl w:val="0"/>
          <w:numId w:val="0"/>
        </w:numPr>
        <w:ind w:left="425" w:hanging="425"/>
      </w:pPr>
      <w:r>
        <w:t>43</w:t>
      </w:r>
      <w:r w:rsidR="009C1B2A">
        <w:t>.</w:t>
      </w:r>
      <w:r w:rsidR="0070539C" w:rsidRPr="009E6C62">
        <w:tab/>
      </w:r>
      <w:r w:rsidR="00A547C5" w:rsidRPr="009E6C62">
        <w:t xml:space="preserve">The </w:t>
      </w:r>
      <w:r w:rsidR="00D45154" w:rsidRPr="009E6C62">
        <w:t>Council</w:t>
      </w:r>
      <w:r w:rsidR="00B904BD" w:rsidRPr="009E6C62">
        <w:t>’</w:t>
      </w:r>
      <w:r w:rsidR="00D45154" w:rsidRPr="009E6C62">
        <w:t xml:space="preserve">s </w:t>
      </w:r>
      <w:r w:rsidR="004F4E49" w:rsidRPr="009E6C62">
        <w:t xml:space="preserve">Draft </w:t>
      </w:r>
      <w:r w:rsidR="00D45154" w:rsidRPr="009E6C62">
        <w:t xml:space="preserve">Capital </w:t>
      </w:r>
      <w:r w:rsidR="00A547C5" w:rsidRPr="009E6C62">
        <w:t>Prog</w:t>
      </w:r>
      <w:r w:rsidR="002719F1" w:rsidRPr="009E6C62">
        <w:t xml:space="preserve">ramme </w:t>
      </w:r>
      <w:r w:rsidR="004F4E49" w:rsidRPr="009E6C62">
        <w:t>for c</w:t>
      </w:r>
      <w:r w:rsidR="005B5052" w:rsidRPr="009E6C62">
        <w:t xml:space="preserve">onsultation </w:t>
      </w:r>
      <w:r w:rsidR="002719F1" w:rsidRPr="009E6C62">
        <w:t>amount</w:t>
      </w:r>
      <w:r w:rsidR="005B5052" w:rsidRPr="009E6C62">
        <w:t>ed</w:t>
      </w:r>
      <w:r w:rsidR="002719F1" w:rsidRPr="009E6C62">
        <w:t xml:space="preserve"> to </w:t>
      </w:r>
      <w:r w:rsidR="00011409" w:rsidRPr="009E6C62">
        <w:t>over</w:t>
      </w:r>
      <w:r w:rsidR="002719F1" w:rsidRPr="009E6C62">
        <w:t xml:space="preserve"> £</w:t>
      </w:r>
      <w:r w:rsidR="0083218A">
        <w:t>7</w:t>
      </w:r>
      <w:r w:rsidR="00256A10">
        <w:t>67</w:t>
      </w:r>
      <w:r w:rsidR="0020073C" w:rsidRPr="009E6C62">
        <w:t xml:space="preserve"> </w:t>
      </w:r>
      <w:r w:rsidR="002719F1" w:rsidRPr="009E6C62">
        <w:t xml:space="preserve">million over the four year period </w:t>
      </w:r>
      <w:r w:rsidR="0082262F" w:rsidRPr="009E6C62">
        <w:t>20</w:t>
      </w:r>
      <w:r w:rsidR="00EC0A25" w:rsidRPr="009E6C62">
        <w:t>2</w:t>
      </w:r>
      <w:r w:rsidR="008B0B44" w:rsidRPr="009E6C62">
        <w:t>3</w:t>
      </w:r>
      <w:r w:rsidR="0082262F" w:rsidRPr="009E6C62">
        <w:t>/</w:t>
      </w:r>
      <w:r w:rsidR="003E4D6D" w:rsidRPr="009E6C62">
        <w:t>2</w:t>
      </w:r>
      <w:r w:rsidR="008B0B44" w:rsidRPr="009E6C62">
        <w:t xml:space="preserve">4 </w:t>
      </w:r>
      <w:r w:rsidR="0082262F" w:rsidRPr="009E6C62">
        <w:t>to 20</w:t>
      </w:r>
      <w:r w:rsidR="003B0605" w:rsidRPr="009E6C62">
        <w:t>2</w:t>
      </w:r>
      <w:r w:rsidR="0083218A">
        <w:t>6</w:t>
      </w:r>
      <w:r w:rsidR="0082262F" w:rsidRPr="009E6C62">
        <w:t>/2</w:t>
      </w:r>
      <w:r w:rsidR="0083218A">
        <w:t>7</w:t>
      </w:r>
      <w:r w:rsidR="0082262F" w:rsidRPr="009E6C62">
        <w:t>.</w:t>
      </w:r>
    </w:p>
    <w:p w14:paraId="56CFE04D" w14:textId="77777777" w:rsidR="00983B2E" w:rsidRDefault="002719F1" w:rsidP="00904851">
      <w:pPr>
        <w:pStyle w:val="bParagraphtext"/>
        <w:numPr>
          <w:ilvl w:val="0"/>
          <w:numId w:val="41"/>
        </w:numPr>
        <w:tabs>
          <w:tab w:val="clear" w:pos="426"/>
          <w:tab w:val="left" w:pos="462"/>
        </w:tabs>
        <w:ind w:left="448" w:hanging="434"/>
      </w:pPr>
      <w:r w:rsidRPr="009E6C62">
        <w:t xml:space="preserve">Appendix </w:t>
      </w:r>
      <w:r w:rsidR="00011409" w:rsidRPr="009E6C62">
        <w:t>6</w:t>
      </w:r>
      <w:r w:rsidRPr="009E6C62">
        <w:t xml:space="preserve"> attached detail</w:t>
      </w:r>
      <w:r w:rsidR="00011409" w:rsidRPr="009E6C62">
        <w:t>s</w:t>
      </w:r>
      <w:r w:rsidRPr="009E6C62">
        <w:t xml:space="preserve"> the Council’s Capital Programme for 20</w:t>
      </w:r>
      <w:r w:rsidR="00EC0A25" w:rsidRPr="009E6C62">
        <w:t>2</w:t>
      </w:r>
      <w:r w:rsidR="009E6C62" w:rsidRPr="009E6C62">
        <w:t>3</w:t>
      </w:r>
      <w:r w:rsidRPr="009E6C62">
        <w:t>/</w:t>
      </w:r>
      <w:r w:rsidR="007205A1" w:rsidRPr="009E6C62">
        <w:t>2</w:t>
      </w:r>
      <w:r w:rsidR="009E6C62" w:rsidRPr="009E6C62">
        <w:t>4</w:t>
      </w:r>
      <w:r w:rsidRPr="009E6C62">
        <w:t xml:space="preserve"> to 20</w:t>
      </w:r>
      <w:r w:rsidR="003B0605" w:rsidRPr="009E6C62">
        <w:t>2</w:t>
      </w:r>
      <w:r w:rsidR="009E6C62" w:rsidRPr="009E6C62">
        <w:t>6</w:t>
      </w:r>
      <w:r w:rsidRPr="009E6C62">
        <w:t>/</w:t>
      </w:r>
      <w:r w:rsidR="00011409" w:rsidRPr="009E6C62">
        <w:t>2</w:t>
      </w:r>
      <w:r w:rsidR="009E6C62" w:rsidRPr="009E6C62">
        <w:t>7</w:t>
      </w:r>
      <w:r w:rsidRPr="009E6C62">
        <w:t>.</w:t>
      </w:r>
      <w:r w:rsidR="00143CAE" w:rsidRPr="009E6C62">
        <w:t xml:space="preserve"> </w:t>
      </w:r>
      <w:r w:rsidR="00EE2594" w:rsidRPr="009E6C62">
        <w:t>The changes to the Consultation Budget reported in December 20</w:t>
      </w:r>
      <w:r w:rsidR="0010093F" w:rsidRPr="009E6C62">
        <w:t>2</w:t>
      </w:r>
      <w:r w:rsidR="009E6C62" w:rsidRPr="009E6C62">
        <w:t>2</w:t>
      </w:r>
      <w:r w:rsidR="00EE2594" w:rsidRPr="009E6C62">
        <w:t xml:space="preserve"> are </w:t>
      </w:r>
      <w:r w:rsidRPr="009E6C62">
        <w:t>summari</w:t>
      </w:r>
      <w:r w:rsidR="00201D70" w:rsidRPr="009E6C62">
        <w:t>s</w:t>
      </w:r>
      <w:r w:rsidRPr="009E6C62">
        <w:t xml:space="preserve">ed </w:t>
      </w:r>
      <w:r w:rsidR="0082262F" w:rsidRPr="009E6C62">
        <w:t xml:space="preserve">in </w:t>
      </w:r>
      <w:r w:rsidR="00CD16FB" w:rsidRPr="009E6C62">
        <w:t>T</w:t>
      </w:r>
      <w:r w:rsidR="0082262F" w:rsidRPr="009E6C62">
        <w:t xml:space="preserve">able </w:t>
      </w:r>
      <w:r w:rsidR="00977030">
        <w:t>6</w:t>
      </w:r>
      <w:r w:rsidR="0082262F" w:rsidRPr="009E6C62">
        <w:t xml:space="preserve"> below</w:t>
      </w:r>
      <w:r w:rsidR="00B74D07" w:rsidRPr="009E6C62">
        <w:t xml:space="preserve">. </w:t>
      </w:r>
    </w:p>
    <w:p w14:paraId="535F3396" w14:textId="77777777" w:rsidR="0029672B" w:rsidRDefault="0029672B" w:rsidP="0029672B">
      <w:pPr>
        <w:pStyle w:val="bParagraphtext"/>
        <w:numPr>
          <w:ilvl w:val="0"/>
          <w:numId w:val="0"/>
        </w:numPr>
        <w:ind w:left="360" w:hanging="360"/>
      </w:pPr>
    </w:p>
    <w:tbl>
      <w:tblPr>
        <w:tblW w:w="9126" w:type="dxa"/>
        <w:tblInd w:w="-5" w:type="dxa"/>
        <w:tblLook w:val="04A0" w:firstRow="1" w:lastRow="0" w:firstColumn="1" w:lastColumn="0" w:noHBand="0" w:noVBand="1"/>
      </w:tblPr>
      <w:tblGrid>
        <w:gridCol w:w="3581"/>
        <w:gridCol w:w="1338"/>
        <w:gridCol w:w="1307"/>
        <w:gridCol w:w="1450"/>
        <w:gridCol w:w="1450"/>
      </w:tblGrid>
      <w:tr w:rsidR="00013557" w:rsidRPr="009E6C62" w14:paraId="0367FF8D" w14:textId="77777777" w:rsidTr="00EF7FF3">
        <w:trPr>
          <w:trHeight w:val="769"/>
        </w:trPr>
        <w:tc>
          <w:tcPr>
            <w:tcW w:w="9126" w:type="dxa"/>
            <w:gridSpan w:val="5"/>
            <w:tcBorders>
              <w:top w:val="single" w:sz="4" w:space="0" w:color="auto"/>
              <w:left w:val="single" w:sz="4" w:space="0" w:color="auto"/>
              <w:right w:val="single" w:sz="4" w:space="0" w:color="auto"/>
            </w:tcBorders>
            <w:shd w:val="clear" w:color="auto" w:fill="auto"/>
            <w:vAlign w:val="bottom"/>
          </w:tcPr>
          <w:p w14:paraId="064AECB8" w14:textId="77777777" w:rsidR="00013557" w:rsidRPr="006803DF" w:rsidRDefault="006F631B" w:rsidP="00DB4566">
            <w:pPr>
              <w:jc w:val="center"/>
              <w:rPr>
                <w:rFonts w:cs="Arial"/>
                <w:b/>
              </w:rPr>
            </w:pPr>
            <w:r w:rsidRPr="006803DF">
              <w:rPr>
                <w:rFonts w:cs="Arial"/>
                <w:b/>
              </w:rPr>
              <w:t xml:space="preserve">Table </w:t>
            </w:r>
            <w:r w:rsidR="00DB4566" w:rsidRPr="006803DF">
              <w:rPr>
                <w:rFonts w:cs="Arial"/>
                <w:b/>
              </w:rPr>
              <w:t>6</w:t>
            </w:r>
            <w:r w:rsidR="00013557" w:rsidRPr="006803DF">
              <w:rPr>
                <w:rFonts w:cs="Arial"/>
                <w:b/>
              </w:rPr>
              <w:t xml:space="preserve"> Changes to Capital Programme 202</w:t>
            </w:r>
            <w:r w:rsidR="00DB4566" w:rsidRPr="006803DF">
              <w:rPr>
                <w:rFonts w:cs="Arial"/>
                <w:b/>
              </w:rPr>
              <w:t>3</w:t>
            </w:r>
            <w:r w:rsidR="00013557" w:rsidRPr="006803DF">
              <w:rPr>
                <w:rFonts w:cs="Arial"/>
                <w:b/>
              </w:rPr>
              <w:t>/2</w:t>
            </w:r>
            <w:r w:rsidR="00DB4566" w:rsidRPr="006803DF">
              <w:rPr>
                <w:rFonts w:cs="Arial"/>
                <w:b/>
              </w:rPr>
              <w:t>4</w:t>
            </w:r>
            <w:r w:rsidR="00013557" w:rsidRPr="006803DF">
              <w:rPr>
                <w:rFonts w:cs="Arial"/>
                <w:b/>
              </w:rPr>
              <w:t xml:space="preserve"> to 202</w:t>
            </w:r>
            <w:r w:rsidR="00DB4566" w:rsidRPr="006803DF">
              <w:rPr>
                <w:rFonts w:cs="Arial"/>
                <w:b/>
              </w:rPr>
              <w:t>6</w:t>
            </w:r>
            <w:r w:rsidR="00013557" w:rsidRPr="006803DF">
              <w:rPr>
                <w:rFonts w:cs="Arial"/>
                <w:b/>
              </w:rPr>
              <w:t>/2</w:t>
            </w:r>
            <w:r w:rsidR="00DB4566" w:rsidRPr="006803DF">
              <w:rPr>
                <w:rFonts w:cs="Arial"/>
                <w:b/>
              </w:rPr>
              <w:t>7</w:t>
            </w:r>
            <w:r w:rsidR="00013557" w:rsidRPr="006803DF">
              <w:rPr>
                <w:rFonts w:cs="Arial"/>
                <w:b/>
              </w:rPr>
              <w:t xml:space="preserve"> compared to Consultation Budget</w:t>
            </w:r>
          </w:p>
        </w:tc>
      </w:tr>
      <w:tr w:rsidR="00013557" w:rsidRPr="009E6C62" w14:paraId="6831946C" w14:textId="77777777" w:rsidTr="00EF7FF3">
        <w:trPr>
          <w:trHeight w:val="769"/>
        </w:trPr>
        <w:tc>
          <w:tcPr>
            <w:tcW w:w="35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37A3F" w14:textId="77777777" w:rsidR="00013557" w:rsidRPr="006803DF" w:rsidRDefault="00013557" w:rsidP="007541DF">
            <w:pPr>
              <w:tabs>
                <w:tab w:val="left" w:pos="7938"/>
              </w:tabs>
              <w:rPr>
                <w:rFonts w:cs="Arial"/>
              </w:rPr>
            </w:pPr>
          </w:p>
        </w:tc>
        <w:tc>
          <w:tcPr>
            <w:tcW w:w="1338" w:type="dxa"/>
            <w:tcBorders>
              <w:top w:val="single" w:sz="4" w:space="0" w:color="auto"/>
              <w:left w:val="nil"/>
              <w:bottom w:val="single" w:sz="4" w:space="0" w:color="auto"/>
              <w:right w:val="single" w:sz="4" w:space="0" w:color="auto"/>
            </w:tcBorders>
            <w:shd w:val="clear" w:color="000000" w:fill="D9D9D9"/>
            <w:noWrap/>
            <w:vAlign w:val="center"/>
            <w:hideMark/>
          </w:tcPr>
          <w:p w14:paraId="31359B4E" w14:textId="77777777" w:rsidR="00013557" w:rsidRPr="006803DF" w:rsidRDefault="00013557" w:rsidP="00013557">
            <w:pPr>
              <w:tabs>
                <w:tab w:val="left" w:pos="1202"/>
              </w:tabs>
              <w:ind w:right="78"/>
              <w:jc w:val="right"/>
              <w:rPr>
                <w:rFonts w:cs="Arial"/>
                <w:b/>
              </w:rPr>
            </w:pPr>
            <w:r w:rsidRPr="006803DF">
              <w:rPr>
                <w:rFonts w:cs="Arial"/>
                <w:b/>
              </w:rPr>
              <w:t>202</w:t>
            </w:r>
            <w:r w:rsidR="00DB4566" w:rsidRPr="006803DF">
              <w:rPr>
                <w:rFonts w:cs="Arial"/>
                <w:b/>
              </w:rPr>
              <w:t>3</w:t>
            </w:r>
            <w:r w:rsidRPr="006803DF">
              <w:rPr>
                <w:rFonts w:cs="Arial"/>
                <w:b/>
              </w:rPr>
              <w:t>/2</w:t>
            </w:r>
            <w:r w:rsidR="00DB4566" w:rsidRPr="006803DF">
              <w:rPr>
                <w:rFonts w:cs="Arial"/>
                <w:b/>
              </w:rPr>
              <w:t>4</w:t>
            </w:r>
          </w:p>
          <w:p w14:paraId="7093BFB2" w14:textId="77777777" w:rsidR="00013557" w:rsidRPr="006803DF" w:rsidRDefault="00013557" w:rsidP="00013557">
            <w:pPr>
              <w:tabs>
                <w:tab w:val="left" w:pos="7938"/>
              </w:tabs>
              <w:ind w:right="78"/>
              <w:jc w:val="right"/>
              <w:rPr>
                <w:rFonts w:cs="Arial"/>
                <w:b/>
              </w:rPr>
            </w:pPr>
            <w:r w:rsidRPr="006803DF">
              <w:rPr>
                <w:rFonts w:cs="Arial"/>
                <w:b/>
                <w:bCs/>
              </w:rPr>
              <w:t>£000's</w:t>
            </w:r>
          </w:p>
        </w:tc>
        <w:tc>
          <w:tcPr>
            <w:tcW w:w="1307" w:type="dxa"/>
            <w:tcBorders>
              <w:top w:val="single" w:sz="4" w:space="0" w:color="auto"/>
              <w:left w:val="nil"/>
              <w:bottom w:val="single" w:sz="4" w:space="0" w:color="auto"/>
              <w:right w:val="single" w:sz="4" w:space="0" w:color="auto"/>
            </w:tcBorders>
            <w:shd w:val="clear" w:color="000000" w:fill="D9D9D9"/>
            <w:noWrap/>
            <w:vAlign w:val="center"/>
            <w:hideMark/>
          </w:tcPr>
          <w:p w14:paraId="6F2E10FD" w14:textId="77777777" w:rsidR="00013557" w:rsidRPr="006803DF" w:rsidRDefault="00013557" w:rsidP="00013557">
            <w:pPr>
              <w:ind w:right="78"/>
              <w:jc w:val="right"/>
              <w:rPr>
                <w:rFonts w:cs="Arial"/>
                <w:b/>
              </w:rPr>
            </w:pPr>
            <w:r w:rsidRPr="006803DF">
              <w:rPr>
                <w:rFonts w:cs="Arial"/>
                <w:b/>
              </w:rPr>
              <w:t>202</w:t>
            </w:r>
            <w:r w:rsidR="00DB4566" w:rsidRPr="006803DF">
              <w:rPr>
                <w:rFonts w:cs="Arial"/>
                <w:b/>
              </w:rPr>
              <w:t>4</w:t>
            </w:r>
            <w:r w:rsidRPr="006803DF">
              <w:rPr>
                <w:rFonts w:cs="Arial"/>
                <w:b/>
              </w:rPr>
              <w:t>/2</w:t>
            </w:r>
            <w:r w:rsidR="00DB4566" w:rsidRPr="006803DF">
              <w:rPr>
                <w:rFonts w:cs="Arial"/>
                <w:b/>
              </w:rPr>
              <w:t>5</w:t>
            </w:r>
          </w:p>
          <w:p w14:paraId="554EA787" w14:textId="77777777" w:rsidR="00013557" w:rsidRPr="006803DF" w:rsidRDefault="00013557" w:rsidP="00013557">
            <w:pPr>
              <w:tabs>
                <w:tab w:val="left" w:pos="7938"/>
              </w:tabs>
              <w:ind w:right="78"/>
              <w:jc w:val="right"/>
              <w:rPr>
                <w:rFonts w:cs="Arial"/>
                <w:b/>
              </w:rPr>
            </w:pPr>
            <w:r w:rsidRPr="006803DF">
              <w:rPr>
                <w:rFonts w:cs="Arial"/>
                <w:b/>
                <w:bCs/>
              </w:rPr>
              <w:t>£000's</w:t>
            </w:r>
          </w:p>
        </w:tc>
        <w:tc>
          <w:tcPr>
            <w:tcW w:w="1450" w:type="dxa"/>
            <w:tcBorders>
              <w:top w:val="single" w:sz="4" w:space="0" w:color="auto"/>
              <w:left w:val="nil"/>
              <w:bottom w:val="single" w:sz="4" w:space="0" w:color="auto"/>
              <w:right w:val="single" w:sz="4" w:space="0" w:color="auto"/>
            </w:tcBorders>
            <w:shd w:val="clear" w:color="000000" w:fill="D9D9D9"/>
            <w:noWrap/>
            <w:vAlign w:val="center"/>
            <w:hideMark/>
          </w:tcPr>
          <w:p w14:paraId="457DDC5B" w14:textId="77777777" w:rsidR="00013557" w:rsidRPr="006803DF" w:rsidRDefault="00013557" w:rsidP="00013557">
            <w:pPr>
              <w:ind w:right="78"/>
              <w:jc w:val="right"/>
              <w:rPr>
                <w:rFonts w:cs="Arial"/>
                <w:b/>
              </w:rPr>
            </w:pPr>
            <w:r w:rsidRPr="006803DF">
              <w:rPr>
                <w:rFonts w:cs="Arial"/>
                <w:b/>
              </w:rPr>
              <w:t>202</w:t>
            </w:r>
            <w:r w:rsidR="00DB4566" w:rsidRPr="006803DF">
              <w:rPr>
                <w:rFonts w:cs="Arial"/>
                <w:b/>
              </w:rPr>
              <w:t>5</w:t>
            </w:r>
            <w:r w:rsidRPr="006803DF">
              <w:rPr>
                <w:rFonts w:cs="Arial"/>
                <w:b/>
              </w:rPr>
              <w:t>/2</w:t>
            </w:r>
            <w:r w:rsidR="00DB4566" w:rsidRPr="006803DF">
              <w:rPr>
                <w:rFonts w:cs="Arial"/>
                <w:b/>
              </w:rPr>
              <w:t>6</w:t>
            </w:r>
          </w:p>
          <w:p w14:paraId="087B61A2" w14:textId="77777777" w:rsidR="00013557" w:rsidRPr="006803DF" w:rsidRDefault="00013557" w:rsidP="00013557">
            <w:pPr>
              <w:tabs>
                <w:tab w:val="left" w:pos="7938"/>
              </w:tabs>
              <w:ind w:right="78"/>
              <w:jc w:val="right"/>
              <w:rPr>
                <w:rFonts w:cs="Arial"/>
                <w:b/>
              </w:rPr>
            </w:pPr>
            <w:r w:rsidRPr="006803DF">
              <w:rPr>
                <w:rFonts w:cs="Arial"/>
                <w:b/>
                <w:bCs/>
              </w:rPr>
              <w:t>£000's</w:t>
            </w:r>
          </w:p>
        </w:tc>
        <w:tc>
          <w:tcPr>
            <w:tcW w:w="1450" w:type="dxa"/>
            <w:tcBorders>
              <w:top w:val="single" w:sz="4" w:space="0" w:color="auto"/>
              <w:left w:val="nil"/>
              <w:bottom w:val="single" w:sz="4" w:space="0" w:color="auto"/>
              <w:right w:val="single" w:sz="4" w:space="0" w:color="auto"/>
            </w:tcBorders>
            <w:shd w:val="clear" w:color="000000" w:fill="D9D9D9"/>
            <w:noWrap/>
            <w:vAlign w:val="center"/>
            <w:hideMark/>
          </w:tcPr>
          <w:p w14:paraId="005D3DC6" w14:textId="77777777" w:rsidR="00013557" w:rsidRPr="006803DF" w:rsidRDefault="00013557" w:rsidP="00013557">
            <w:pPr>
              <w:ind w:right="78"/>
              <w:jc w:val="right"/>
              <w:rPr>
                <w:rFonts w:cs="Arial"/>
                <w:b/>
              </w:rPr>
            </w:pPr>
            <w:r w:rsidRPr="006803DF">
              <w:rPr>
                <w:rFonts w:cs="Arial"/>
                <w:b/>
              </w:rPr>
              <w:t>20</w:t>
            </w:r>
            <w:r w:rsidR="00042FD7" w:rsidRPr="006803DF">
              <w:rPr>
                <w:rFonts w:cs="Arial"/>
                <w:b/>
              </w:rPr>
              <w:t>2</w:t>
            </w:r>
            <w:r w:rsidR="00DB4566" w:rsidRPr="006803DF">
              <w:rPr>
                <w:rFonts w:cs="Arial"/>
                <w:b/>
              </w:rPr>
              <w:t>6</w:t>
            </w:r>
            <w:r w:rsidRPr="006803DF">
              <w:rPr>
                <w:rFonts w:cs="Arial"/>
                <w:b/>
              </w:rPr>
              <w:t>/2</w:t>
            </w:r>
            <w:r w:rsidR="00DB4566" w:rsidRPr="006803DF">
              <w:rPr>
                <w:rFonts w:cs="Arial"/>
                <w:b/>
              </w:rPr>
              <w:t>7</w:t>
            </w:r>
          </w:p>
          <w:p w14:paraId="14179812" w14:textId="77777777" w:rsidR="00013557" w:rsidRPr="006803DF" w:rsidRDefault="00013557" w:rsidP="00013557">
            <w:pPr>
              <w:tabs>
                <w:tab w:val="left" w:pos="7938"/>
              </w:tabs>
              <w:ind w:right="78"/>
              <w:jc w:val="right"/>
              <w:rPr>
                <w:rFonts w:cs="Arial"/>
                <w:b/>
              </w:rPr>
            </w:pPr>
            <w:r w:rsidRPr="006803DF">
              <w:rPr>
                <w:rFonts w:cs="Arial"/>
                <w:b/>
                <w:bCs/>
              </w:rPr>
              <w:t>£000's</w:t>
            </w:r>
          </w:p>
        </w:tc>
      </w:tr>
      <w:tr w:rsidR="0039061E" w:rsidRPr="009E6C62" w14:paraId="23038D06" w14:textId="77777777" w:rsidTr="00EF7FF3">
        <w:trPr>
          <w:trHeight w:val="300"/>
        </w:trPr>
        <w:tc>
          <w:tcPr>
            <w:tcW w:w="358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17F00C" w14:textId="77777777" w:rsidR="0039061E" w:rsidRPr="006803DF" w:rsidRDefault="0039061E" w:rsidP="00013557">
            <w:pPr>
              <w:tabs>
                <w:tab w:val="left" w:pos="7938"/>
              </w:tabs>
              <w:rPr>
                <w:rFonts w:cs="Arial"/>
                <w:b/>
                <w:bCs/>
              </w:rPr>
            </w:pPr>
            <w:r w:rsidRPr="006803DF">
              <w:rPr>
                <w:rFonts w:cs="Arial"/>
                <w:b/>
                <w:bCs/>
              </w:rPr>
              <w:t>GENERAL FUND</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1E60CF3C" w14:textId="77777777" w:rsidR="0039061E" w:rsidRPr="006803DF" w:rsidRDefault="0039061E" w:rsidP="00013557">
            <w:pPr>
              <w:tabs>
                <w:tab w:val="left" w:pos="7938"/>
              </w:tabs>
              <w:jc w:val="right"/>
              <w:rPr>
                <w:rFonts w:cs="Arial"/>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02FAE03B" w14:textId="77777777" w:rsidR="0039061E" w:rsidRPr="006803DF"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D78EA15" w14:textId="77777777" w:rsidR="0039061E" w:rsidRPr="006803DF"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2B91FBE" w14:textId="77777777" w:rsidR="0039061E" w:rsidRPr="006803DF" w:rsidRDefault="0039061E" w:rsidP="00013557">
            <w:pPr>
              <w:tabs>
                <w:tab w:val="left" w:pos="7938"/>
              </w:tabs>
              <w:jc w:val="right"/>
              <w:rPr>
                <w:rFonts w:cs="Arial"/>
              </w:rPr>
            </w:pPr>
          </w:p>
        </w:tc>
      </w:tr>
      <w:tr w:rsidR="0039061E" w:rsidRPr="009E6C62" w14:paraId="3D30A89A"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14:paraId="5A45E037" w14:textId="77777777" w:rsidR="0039061E" w:rsidRPr="006803DF" w:rsidRDefault="0039061E" w:rsidP="00013557">
            <w:pPr>
              <w:tabs>
                <w:tab w:val="left" w:pos="7938"/>
              </w:tabs>
              <w:rPr>
                <w:rFonts w:cs="Arial"/>
                <w:b/>
                <w:bCs/>
              </w:rPr>
            </w:pPr>
            <w:r w:rsidRPr="006803DF">
              <w:rPr>
                <w:rFonts w:cs="Arial"/>
                <w:b/>
                <w:bCs/>
              </w:rPr>
              <w:t>Consultation Budget Spend</w:t>
            </w:r>
          </w:p>
        </w:tc>
        <w:tc>
          <w:tcPr>
            <w:tcW w:w="1338" w:type="dxa"/>
            <w:tcBorders>
              <w:top w:val="nil"/>
              <w:left w:val="nil"/>
              <w:bottom w:val="single" w:sz="4" w:space="0" w:color="auto"/>
              <w:right w:val="single" w:sz="4" w:space="0" w:color="auto"/>
            </w:tcBorders>
            <w:shd w:val="clear" w:color="auto" w:fill="auto"/>
            <w:noWrap/>
            <w:vAlign w:val="center"/>
          </w:tcPr>
          <w:p w14:paraId="45B7914C" w14:textId="77777777" w:rsidR="0039061E" w:rsidRPr="006803DF" w:rsidRDefault="009E6C62" w:rsidP="00013557">
            <w:pPr>
              <w:jc w:val="right"/>
              <w:rPr>
                <w:rFonts w:cs="Arial"/>
                <w:b/>
                <w:bCs/>
              </w:rPr>
            </w:pPr>
            <w:r w:rsidRPr="006803DF">
              <w:rPr>
                <w:rFonts w:cs="Arial"/>
                <w:b/>
                <w:bCs/>
              </w:rPr>
              <w:t>108,466</w:t>
            </w:r>
          </w:p>
        </w:tc>
        <w:tc>
          <w:tcPr>
            <w:tcW w:w="1307" w:type="dxa"/>
            <w:tcBorders>
              <w:top w:val="nil"/>
              <w:left w:val="nil"/>
              <w:bottom w:val="single" w:sz="4" w:space="0" w:color="auto"/>
              <w:right w:val="single" w:sz="4" w:space="0" w:color="auto"/>
            </w:tcBorders>
            <w:shd w:val="clear" w:color="auto" w:fill="auto"/>
            <w:noWrap/>
            <w:vAlign w:val="center"/>
          </w:tcPr>
          <w:p w14:paraId="2E4DD8FE" w14:textId="77777777" w:rsidR="0039061E" w:rsidRPr="006803DF" w:rsidRDefault="009E6C62" w:rsidP="00042FD7">
            <w:pPr>
              <w:jc w:val="right"/>
              <w:rPr>
                <w:rFonts w:cs="Arial"/>
                <w:b/>
                <w:bCs/>
              </w:rPr>
            </w:pPr>
            <w:r w:rsidRPr="006803DF">
              <w:rPr>
                <w:rFonts w:cs="Arial"/>
                <w:b/>
                <w:bCs/>
              </w:rPr>
              <w:t>46,404</w:t>
            </w:r>
          </w:p>
        </w:tc>
        <w:tc>
          <w:tcPr>
            <w:tcW w:w="1450" w:type="dxa"/>
            <w:tcBorders>
              <w:top w:val="nil"/>
              <w:left w:val="nil"/>
              <w:bottom w:val="single" w:sz="4" w:space="0" w:color="auto"/>
              <w:right w:val="single" w:sz="4" w:space="0" w:color="auto"/>
            </w:tcBorders>
            <w:shd w:val="clear" w:color="auto" w:fill="auto"/>
            <w:noWrap/>
            <w:vAlign w:val="center"/>
          </w:tcPr>
          <w:p w14:paraId="7B8A4D94" w14:textId="77777777" w:rsidR="0039061E" w:rsidRPr="006803DF" w:rsidRDefault="009E6C62" w:rsidP="00042FD7">
            <w:pPr>
              <w:jc w:val="right"/>
              <w:rPr>
                <w:rFonts w:cs="Arial"/>
                <w:b/>
                <w:bCs/>
              </w:rPr>
            </w:pPr>
            <w:r w:rsidRPr="006803DF">
              <w:rPr>
                <w:rFonts w:cs="Arial"/>
                <w:b/>
                <w:bCs/>
              </w:rPr>
              <w:t>80,728</w:t>
            </w:r>
          </w:p>
        </w:tc>
        <w:tc>
          <w:tcPr>
            <w:tcW w:w="1450" w:type="dxa"/>
            <w:tcBorders>
              <w:top w:val="nil"/>
              <w:left w:val="nil"/>
              <w:bottom w:val="single" w:sz="4" w:space="0" w:color="auto"/>
              <w:right w:val="single" w:sz="4" w:space="0" w:color="auto"/>
            </w:tcBorders>
            <w:shd w:val="clear" w:color="auto" w:fill="auto"/>
            <w:noWrap/>
            <w:vAlign w:val="center"/>
          </w:tcPr>
          <w:p w14:paraId="03CF27A5" w14:textId="77777777" w:rsidR="0039061E" w:rsidRPr="006803DF" w:rsidRDefault="009E6C62" w:rsidP="00013557">
            <w:pPr>
              <w:jc w:val="right"/>
              <w:rPr>
                <w:rFonts w:cs="Arial"/>
                <w:b/>
                <w:bCs/>
              </w:rPr>
            </w:pPr>
            <w:r w:rsidRPr="006803DF">
              <w:rPr>
                <w:rFonts w:cs="Arial"/>
                <w:b/>
                <w:bCs/>
              </w:rPr>
              <w:t>24,926</w:t>
            </w:r>
          </w:p>
        </w:tc>
      </w:tr>
      <w:tr w:rsidR="0017448C" w:rsidRPr="00B54839" w14:paraId="6E84DBED"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tcPr>
          <w:p w14:paraId="0EC0F69D" w14:textId="77777777" w:rsidR="0017448C" w:rsidRPr="006803DF" w:rsidRDefault="001A7E9E" w:rsidP="0017448C">
            <w:r>
              <w:t>Slippage from 2022-23</w:t>
            </w:r>
          </w:p>
        </w:tc>
        <w:tc>
          <w:tcPr>
            <w:tcW w:w="1338" w:type="dxa"/>
            <w:tcBorders>
              <w:top w:val="nil"/>
              <w:left w:val="nil"/>
              <w:bottom w:val="single" w:sz="4" w:space="0" w:color="auto"/>
              <w:right w:val="single" w:sz="4" w:space="0" w:color="auto"/>
            </w:tcBorders>
            <w:shd w:val="clear" w:color="auto" w:fill="auto"/>
            <w:noWrap/>
          </w:tcPr>
          <w:p w14:paraId="1BC19045" w14:textId="77777777" w:rsidR="0017448C" w:rsidRPr="006803DF" w:rsidRDefault="0042017F" w:rsidP="0017448C">
            <w:pPr>
              <w:jc w:val="right"/>
            </w:pPr>
            <w:r>
              <w:t>3,50</w:t>
            </w:r>
            <w:r w:rsidR="00256A10">
              <w:t>9</w:t>
            </w:r>
          </w:p>
        </w:tc>
        <w:tc>
          <w:tcPr>
            <w:tcW w:w="1307" w:type="dxa"/>
            <w:tcBorders>
              <w:top w:val="nil"/>
              <w:left w:val="nil"/>
              <w:bottom w:val="single" w:sz="4" w:space="0" w:color="auto"/>
              <w:right w:val="single" w:sz="4" w:space="0" w:color="auto"/>
            </w:tcBorders>
            <w:shd w:val="clear" w:color="auto" w:fill="auto"/>
            <w:noWrap/>
            <w:vAlign w:val="center"/>
          </w:tcPr>
          <w:p w14:paraId="6BC8797C" w14:textId="77777777" w:rsidR="0017448C" w:rsidRPr="006803DF" w:rsidRDefault="0042017F" w:rsidP="004B1B7B">
            <w:pPr>
              <w:tabs>
                <w:tab w:val="left" w:pos="7938"/>
              </w:tabs>
              <w:jc w:val="right"/>
              <w:rPr>
                <w:rFonts w:cs="Arial"/>
                <w:bCs/>
              </w:rPr>
            </w:pPr>
            <w:r>
              <w:rPr>
                <w:rFonts w:cs="Arial"/>
                <w:bCs/>
              </w:rPr>
              <w:t>5,166</w:t>
            </w:r>
          </w:p>
        </w:tc>
        <w:tc>
          <w:tcPr>
            <w:tcW w:w="1450" w:type="dxa"/>
            <w:tcBorders>
              <w:top w:val="nil"/>
              <w:left w:val="nil"/>
              <w:bottom w:val="single" w:sz="4" w:space="0" w:color="auto"/>
              <w:right w:val="single" w:sz="4" w:space="0" w:color="auto"/>
            </w:tcBorders>
            <w:shd w:val="clear" w:color="auto" w:fill="auto"/>
            <w:noWrap/>
            <w:vAlign w:val="center"/>
          </w:tcPr>
          <w:p w14:paraId="04E982C3" w14:textId="77777777" w:rsidR="0017448C" w:rsidRPr="006803DF" w:rsidRDefault="0065196F" w:rsidP="0097796B">
            <w:pPr>
              <w:tabs>
                <w:tab w:val="left" w:pos="7938"/>
              </w:tabs>
              <w:jc w:val="right"/>
              <w:rPr>
                <w:rFonts w:cs="Arial"/>
                <w:bCs/>
              </w:rPr>
            </w:pPr>
            <w:r>
              <w:rPr>
                <w:rFonts w:cs="Arial"/>
                <w:bCs/>
              </w:rPr>
              <w:t>454</w:t>
            </w:r>
          </w:p>
        </w:tc>
        <w:tc>
          <w:tcPr>
            <w:tcW w:w="1450" w:type="dxa"/>
            <w:tcBorders>
              <w:top w:val="nil"/>
              <w:left w:val="nil"/>
              <w:bottom w:val="single" w:sz="4" w:space="0" w:color="auto"/>
              <w:right w:val="single" w:sz="4" w:space="0" w:color="auto"/>
            </w:tcBorders>
            <w:shd w:val="clear" w:color="auto" w:fill="auto"/>
            <w:noWrap/>
            <w:vAlign w:val="center"/>
          </w:tcPr>
          <w:p w14:paraId="0D4A17EF" w14:textId="77777777" w:rsidR="0017448C" w:rsidRPr="006803DF" w:rsidRDefault="0065196F" w:rsidP="0017448C">
            <w:pPr>
              <w:tabs>
                <w:tab w:val="left" w:pos="7938"/>
              </w:tabs>
              <w:jc w:val="right"/>
              <w:rPr>
                <w:rFonts w:cs="Arial"/>
                <w:bCs/>
              </w:rPr>
            </w:pPr>
            <w:r>
              <w:rPr>
                <w:rFonts w:cs="Arial"/>
                <w:bCs/>
              </w:rPr>
              <w:t>0</w:t>
            </w:r>
          </w:p>
        </w:tc>
      </w:tr>
      <w:tr w:rsidR="0017448C" w:rsidRPr="00B54839" w14:paraId="20CA3147"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tcPr>
          <w:p w14:paraId="79F60476" w14:textId="77777777" w:rsidR="0017448C" w:rsidRPr="006803DF" w:rsidRDefault="0017448C" w:rsidP="0017448C"/>
        </w:tc>
        <w:tc>
          <w:tcPr>
            <w:tcW w:w="1338" w:type="dxa"/>
            <w:tcBorders>
              <w:top w:val="nil"/>
              <w:left w:val="nil"/>
              <w:bottom w:val="single" w:sz="4" w:space="0" w:color="auto"/>
              <w:right w:val="single" w:sz="4" w:space="0" w:color="auto"/>
            </w:tcBorders>
            <w:shd w:val="clear" w:color="auto" w:fill="auto"/>
            <w:noWrap/>
          </w:tcPr>
          <w:p w14:paraId="6E161C53" w14:textId="77777777" w:rsidR="0017448C" w:rsidRPr="006803DF" w:rsidRDefault="0017448C" w:rsidP="0017448C">
            <w:pPr>
              <w:jc w:val="right"/>
            </w:pPr>
          </w:p>
        </w:tc>
        <w:tc>
          <w:tcPr>
            <w:tcW w:w="1307" w:type="dxa"/>
            <w:tcBorders>
              <w:top w:val="nil"/>
              <w:left w:val="nil"/>
              <w:bottom w:val="single" w:sz="4" w:space="0" w:color="auto"/>
              <w:right w:val="single" w:sz="4" w:space="0" w:color="auto"/>
            </w:tcBorders>
            <w:shd w:val="clear" w:color="auto" w:fill="auto"/>
            <w:noWrap/>
            <w:vAlign w:val="center"/>
          </w:tcPr>
          <w:p w14:paraId="614986EC" w14:textId="77777777" w:rsidR="0017448C" w:rsidRPr="006803DF"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14:paraId="5CCA05CB" w14:textId="77777777" w:rsidR="0017448C" w:rsidRPr="006803DF"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14:paraId="4D4D1277" w14:textId="77777777" w:rsidR="0017448C" w:rsidRPr="006803DF" w:rsidRDefault="0017448C" w:rsidP="0017448C">
            <w:pPr>
              <w:tabs>
                <w:tab w:val="left" w:pos="7938"/>
              </w:tabs>
              <w:jc w:val="right"/>
              <w:rPr>
                <w:rFonts w:cs="Arial"/>
                <w:bCs/>
              </w:rPr>
            </w:pPr>
          </w:p>
        </w:tc>
      </w:tr>
      <w:tr w:rsidR="0017448C" w:rsidRPr="00B54839" w14:paraId="2F4F69C5"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tcPr>
          <w:p w14:paraId="07D146AA" w14:textId="77777777" w:rsidR="0017448C" w:rsidRPr="006803DF" w:rsidRDefault="0029672B" w:rsidP="0017448C">
            <w:pPr>
              <w:rPr>
                <w:b/>
              </w:rPr>
            </w:pPr>
            <w:r w:rsidRPr="006803DF">
              <w:rPr>
                <w:b/>
              </w:rPr>
              <w:t>Additional Spend</w:t>
            </w:r>
          </w:p>
        </w:tc>
        <w:tc>
          <w:tcPr>
            <w:tcW w:w="1338" w:type="dxa"/>
            <w:tcBorders>
              <w:top w:val="nil"/>
              <w:left w:val="nil"/>
              <w:bottom w:val="single" w:sz="4" w:space="0" w:color="auto"/>
              <w:right w:val="single" w:sz="4" w:space="0" w:color="auto"/>
            </w:tcBorders>
            <w:shd w:val="clear" w:color="auto" w:fill="auto"/>
            <w:noWrap/>
          </w:tcPr>
          <w:p w14:paraId="0290A162" w14:textId="77777777" w:rsidR="0017448C" w:rsidRPr="006803DF" w:rsidRDefault="0017448C" w:rsidP="0017448C">
            <w:pPr>
              <w:jc w:val="right"/>
            </w:pPr>
          </w:p>
        </w:tc>
        <w:tc>
          <w:tcPr>
            <w:tcW w:w="1307" w:type="dxa"/>
            <w:tcBorders>
              <w:top w:val="nil"/>
              <w:left w:val="nil"/>
              <w:bottom w:val="single" w:sz="4" w:space="0" w:color="auto"/>
              <w:right w:val="single" w:sz="4" w:space="0" w:color="auto"/>
            </w:tcBorders>
            <w:shd w:val="clear" w:color="auto" w:fill="auto"/>
            <w:noWrap/>
            <w:vAlign w:val="center"/>
          </w:tcPr>
          <w:p w14:paraId="018BD3DE" w14:textId="77777777" w:rsidR="0017448C" w:rsidRPr="006803DF"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14:paraId="6C4BA604" w14:textId="77777777" w:rsidR="0017448C" w:rsidRPr="006803DF"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14:paraId="2D2CEB66" w14:textId="77777777" w:rsidR="0017448C" w:rsidRPr="006803DF" w:rsidRDefault="0017448C" w:rsidP="0017448C">
            <w:pPr>
              <w:tabs>
                <w:tab w:val="left" w:pos="7938"/>
              </w:tabs>
              <w:jc w:val="right"/>
              <w:rPr>
                <w:rFonts w:cs="Arial"/>
                <w:bCs/>
              </w:rPr>
            </w:pPr>
          </w:p>
        </w:tc>
      </w:tr>
      <w:tr w:rsidR="0017448C" w:rsidRPr="00B54839" w14:paraId="0C0015E1"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tcPr>
          <w:p w14:paraId="14996982" w14:textId="6F665EC6" w:rsidR="0017448C" w:rsidRPr="006803DF" w:rsidRDefault="0029672B" w:rsidP="00751C60">
            <w:r w:rsidRPr="006803DF">
              <w:t>Loan</w:t>
            </w:r>
            <w:r w:rsidR="00C66F38" w:rsidRPr="006803DF">
              <w:t>s</w:t>
            </w:r>
            <w:r w:rsidRPr="006803DF">
              <w:t xml:space="preserve"> to </w:t>
            </w:r>
            <w:proofErr w:type="spellStart"/>
            <w:r w:rsidRPr="006803DF">
              <w:t>Ox</w:t>
            </w:r>
            <w:r w:rsidR="001A7E9E">
              <w:t>wed</w:t>
            </w:r>
            <w:proofErr w:type="spellEnd"/>
            <w:r w:rsidR="00335F76">
              <w:t xml:space="preserve"> – see para </w:t>
            </w:r>
            <w:r w:rsidR="00904851">
              <w:t>52</w:t>
            </w:r>
            <w:r w:rsidRPr="006803DF">
              <w:t xml:space="preserve"> below</w:t>
            </w:r>
          </w:p>
        </w:tc>
        <w:tc>
          <w:tcPr>
            <w:tcW w:w="1338" w:type="dxa"/>
            <w:tcBorders>
              <w:top w:val="nil"/>
              <w:left w:val="nil"/>
              <w:bottom w:val="single" w:sz="4" w:space="0" w:color="auto"/>
              <w:right w:val="single" w:sz="4" w:space="0" w:color="auto"/>
            </w:tcBorders>
            <w:shd w:val="clear" w:color="auto" w:fill="auto"/>
            <w:noWrap/>
          </w:tcPr>
          <w:p w14:paraId="5C7169E1" w14:textId="77777777" w:rsidR="0017448C" w:rsidRPr="006803DF" w:rsidRDefault="004B1B7B" w:rsidP="0017448C">
            <w:pPr>
              <w:jc w:val="right"/>
            </w:pPr>
            <w:r>
              <w:t>1,150</w:t>
            </w:r>
          </w:p>
        </w:tc>
        <w:tc>
          <w:tcPr>
            <w:tcW w:w="1307" w:type="dxa"/>
            <w:tcBorders>
              <w:top w:val="nil"/>
              <w:left w:val="nil"/>
              <w:bottom w:val="single" w:sz="4" w:space="0" w:color="auto"/>
              <w:right w:val="single" w:sz="4" w:space="0" w:color="auto"/>
            </w:tcBorders>
            <w:shd w:val="clear" w:color="auto" w:fill="auto"/>
            <w:noWrap/>
            <w:vAlign w:val="center"/>
          </w:tcPr>
          <w:p w14:paraId="05F7CBC9" w14:textId="77777777" w:rsidR="0017448C" w:rsidRPr="006803DF" w:rsidRDefault="004B1B7B" w:rsidP="004B1B7B">
            <w:pPr>
              <w:tabs>
                <w:tab w:val="left" w:pos="7938"/>
              </w:tabs>
              <w:jc w:val="right"/>
              <w:rPr>
                <w:rFonts w:cs="Arial"/>
                <w:bCs/>
              </w:rPr>
            </w:pPr>
            <w:r>
              <w:rPr>
                <w:rFonts w:cs="Arial"/>
                <w:bCs/>
              </w:rPr>
              <w:t>2,600</w:t>
            </w:r>
          </w:p>
        </w:tc>
        <w:tc>
          <w:tcPr>
            <w:tcW w:w="1450" w:type="dxa"/>
            <w:tcBorders>
              <w:top w:val="nil"/>
              <w:left w:val="nil"/>
              <w:bottom w:val="single" w:sz="4" w:space="0" w:color="auto"/>
              <w:right w:val="single" w:sz="4" w:space="0" w:color="auto"/>
            </w:tcBorders>
            <w:shd w:val="clear" w:color="auto" w:fill="auto"/>
            <w:noWrap/>
            <w:vAlign w:val="center"/>
          </w:tcPr>
          <w:p w14:paraId="0E5198D7" w14:textId="77777777" w:rsidR="0017448C" w:rsidRPr="006803DF" w:rsidRDefault="0029672B" w:rsidP="0017448C">
            <w:pPr>
              <w:tabs>
                <w:tab w:val="left" w:pos="7938"/>
              </w:tabs>
              <w:jc w:val="right"/>
              <w:rPr>
                <w:rFonts w:cs="Arial"/>
                <w:bCs/>
              </w:rPr>
            </w:pPr>
            <w:r w:rsidRPr="006803DF">
              <w:rPr>
                <w:rFonts w:cs="Arial"/>
                <w:bCs/>
              </w:rPr>
              <w:t>0</w:t>
            </w:r>
          </w:p>
        </w:tc>
        <w:tc>
          <w:tcPr>
            <w:tcW w:w="1450" w:type="dxa"/>
            <w:tcBorders>
              <w:top w:val="nil"/>
              <w:left w:val="nil"/>
              <w:bottom w:val="single" w:sz="4" w:space="0" w:color="auto"/>
              <w:right w:val="single" w:sz="4" w:space="0" w:color="auto"/>
            </w:tcBorders>
            <w:shd w:val="clear" w:color="auto" w:fill="auto"/>
            <w:noWrap/>
            <w:vAlign w:val="center"/>
          </w:tcPr>
          <w:p w14:paraId="6B613A22" w14:textId="77777777" w:rsidR="0017448C" w:rsidRPr="006803DF" w:rsidRDefault="0029672B" w:rsidP="0017448C">
            <w:pPr>
              <w:tabs>
                <w:tab w:val="left" w:pos="7938"/>
              </w:tabs>
              <w:jc w:val="right"/>
              <w:rPr>
                <w:rFonts w:cs="Arial"/>
                <w:bCs/>
              </w:rPr>
            </w:pPr>
            <w:r w:rsidRPr="006803DF">
              <w:rPr>
                <w:rFonts w:cs="Arial"/>
                <w:bCs/>
              </w:rPr>
              <w:t>0</w:t>
            </w:r>
          </w:p>
        </w:tc>
      </w:tr>
      <w:tr w:rsidR="0017448C" w:rsidRPr="00B54839" w14:paraId="5AD048CB"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tcPr>
          <w:p w14:paraId="7A53FF06" w14:textId="77777777" w:rsidR="0017448C" w:rsidRPr="006803DF" w:rsidRDefault="00615F4F" w:rsidP="00615F4F">
            <w:proofErr w:type="spellStart"/>
            <w:r w:rsidRPr="006803DF">
              <w:t>Cowley</w:t>
            </w:r>
            <w:proofErr w:type="spellEnd"/>
            <w:r w:rsidRPr="006803DF">
              <w:t xml:space="preserve"> Branch line</w:t>
            </w:r>
            <w:r w:rsidR="001A7E9E">
              <w:t xml:space="preserve"> </w:t>
            </w:r>
          </w:p>
        </w:tc>
        <w:tc>
          <w:tcPr>
            <w:tcW w:w="1338" w:type="dxa"/>
            <w:tcBorders>
              <w:top w:val="nil"/>
              <w:left w:val="nil"/>
              <w:bottom w:val="single" w:sz="4" w:space="0" w:color="auto"/>
              <w:right w:val="single" w:sz="4" w:space="0" w:color="auto"/>
            </w:tcBorders>
            <w:shd w:val="clear" w:color="auto" w:fill="auto"/>
            <w:noWrap/>
          </w:tcPr>
          <w:p w14:paraId="036B826B" w14:textId="77777777" w:rsidR="0017448C" w:rsidRPr="006803DF" w:rsidRDefault="00F61DFB" w:rsidP="00CA53B8">
            <w:pPr>
              <w:jc w:val="right"/>
            </w:pPr>
            <w:r w:rsidRPr="006803DF">
              <w:t>3,6</w:t>
            </w:r>
            <w:r w:rsidR="0009242D" w:rsidRPr="006803DF">
              <w:t>46</w:t>
            </w:r>
          </w:p>
        </w:tc>
        <w:tc>
          <w:tcPr>
            <w:tcW w:w="1307" w:type="dxa"/>
            <w:tcBorders>
              <w:top w:val="nil"/>
              <w:left w:val="nil"/>
              <w:bottom w:val="single" w:sz="4" w:space="0" w:color="auto"/>
              <w:right w:val="single" w:sz="4" w:space="0" w:color="auto"/>
            </w:tcBorders>
            <w:shd w:val="clear" w:color="auto" w:fill="auto"/>
            <w:noWrap/>
            <w:vAlign w:val="center"/>
          </w:tcPr>
          <w:p w14:paraId="4E76F273" w14:textId="77777777" w:rsidR="0017448C" w:rsidRPr="006803DF" w:rsidRDefault="0009242D" w:rsidP="00CA53B8">
            <w:pPr>
              <w:tabs>
                <w:tab w:val="left" w:pos="7938"/>
              </w:tabs>
              <w:jc w:val="right"/>
              <w:rPr>
                <w:rFonts w:cs="Arial"/>
                <w:bCs/>
              </w:rPr>
            </w:pPr>
            <w:r w:rsidRPr="006803DF">
              <w:rPr>
                <w:rFonts w:cs="Arial"/>
                <w:bCs/>
              </w:rPr>
              <w:t>840</w:t>
            </w:r>
          </w:p>
        </w:tc>
        <w:tc>
          <w:tcPr>
            <w:tcW w:w="1450" w:type="dxa"/>
            <w:tcBorders>
              <w:top w:val="nil"/>
              <w:left w:val="nil"/>
              <w:bottom w:val="single" w:sz="4" w:space="0" w:color="auto"/>
              <w:right w:val="single" w:sz="4" w:space="0" w:color="auto"/>
            </w:tcBorders>
            <w:shd w:val="clear" w:color="auto" w:fill="auto"/>
            <w:noWrap/>
            <w:vAlign w:val="center"/>
          </w:tcPr>
          <w:p w14:paraId="44400CBB" w14:textId="77777777" w:rsidR="0017448C" w:rsidRPr="006803DF" w:rsidRDefault="0009242D" w:rsidP="00CA53B8">
            <w:pPr>
              <w:tabs>
                <w:tab w:val="left" w:pos="7938"/>
              </w:tabs>
              <w:jc w:val="right"/>
              <w:rPr>
                <w:rFonts w:cs="Arial"/>
                <w:bCs/>
              </w:rPr>
            </w:pPr>
            <w:r w:rsidRPr="006803DF">
              <w:rPr>
                <w:rFonts w:cs="Arial"/>
                <w:bCs/>
              </w:rPr>
              <w:t>74</w:t>
            </w:r>
          </w:p>
        </w:tc>
        <w:tc>
          <w:tcPr>
            <w:tcW w:w="1450" w:type="dxa"/>
            <w:tcBorders>
              <w:top w:val="nil"/>
              <w:left w:val="nil"/>
              <w:bottom w:val="single" w:sz="4" w:space="0" w:color="auto"/>
              <w:right w:val="single" w:sz="4" w:space="0" w:color="auto"/>
            </w:tcBorders>
            <w:shd w:val="clear" w:color="auto" w:fill="auto"/>
            <w:noWrap/>
            <w:vAlign w:val="center"/>
          </w:tcPr>
          <w:p w14:paraId="68352B70" w14:textId="77777777" w:rsidR="0017448C" w:rsidRPr="006803DF" w:rsidRDefault="006803DF" w:rsidP="0017448C">
            <w:pPr>
              <w:tabs>
                <w:tab w:val="left" w:pos="7938"/>
              </w:tabs>
              <w:jc w:val="right"/>
              <w:rPr>
                <w:rFonts w:cs="Arial"/>
                <w:bCs/>
              </w:rPr>
            </w:pPr>
            <w:r w:rsidRPr="006803DF">
              <w:rPr>
                <w:rFonts w:cs="Arial"/>
                <w:bCs/>
              </w:rPr>
              <w:t>0</w:t>
            </w:r>
          </w:p>
        </w:tc>
      </w:tr>
      <w:tr w:rsidR="0017448C" w:rsidRPr="00B54839" w14:paraId="0166ED6A"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tcPr>
          <w:p w14:paraId="03857D2D" w14:textId="77777777" w:rsidR="0017448C" w:rsidRPr="006803DF" w:rsidRDefault="0042017F" w:rsidP="0017448C">
            <w:proofErr w:type="spellStart"/>
            <w:r>
              <w:t>Roken</w:t>
            </w:r>
            <w:proofErr w:type="spellEnd"/>
            <w:r>
              <w:t xml:space="preserve"> House</w:t>
            </w:r>
          </w:p>
        </w:tc>
        <w:tc>
          <w:tcPr>
            <w:tcW w:w="1338" w:type="dxa"/>
            <w:tcBorders>
              <w:top w:val="nil"/>
              <w:left w:val="nil"/>
              <w:bottom w:val="single" w:sz="4" w:space="0" w:color="auto"/>
              <w:right w:val="single" w:sz="4" w:space="0" w:color="auto"/>
            </w:tcBorders>
            <w:shd w:val="clear" w:color="auto" w:fill="auto"/>
            <w:noWrap/>
          </w:tcPr>
          <w:p w14:paraId="331FCA44" w14:textId="77777777" w:rsidR="0017448C" w:rsidRPr="006803DF" w:rsidRDefault="0042017F" w:rsidP="008C2D45">
            <w:pPr>
              <w:jc w:val="right"/>
            </w:pPr>
            <w:r>
              <w:t>2</w:t>
            </w:r>
            <w:r w:rsidR="008C2D45">
              <w:t>0</w:t>
            </w:r>
            <w:r>
              <w:t>0</w:t>
            </w:r>
          </w:p>
        </w:tc>
        <w:tc>
          <w:tcPr>
            <w:tcW w:w="1307" w:type="dxa"/>
            <w:tcBorders>
              <w:top w:val="nil"/>
              <w:left w:val="nil"/>
              <w:bottom w:val="single" w:sz="4" w:space="0" w:color="auto"/>
              <w:right w:val="single" w:sz="4" w:space="0" w:color="auto"/>
            </w:tcBorders>
            <w:shd w:val="clear" w:color="auto" w:fill="auto"/>
            <w:noWrap/>
            <w:vAlign w:val="center"/>
          </w:tcPr>
          <w:p w14:paraId="659F5EE7" w14:textId="77777777" w:rsidR="0017448C" w:rsidRPr="006803DF"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14:paraId="2E08B9B5" w14:textId="77777777" w:rsidR="0017448C" w:rsidRPr="006803DF" w:rsidRDefault="0017448C" w:rsidP="0017448C">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14:paraId="1FC91CEA" w14:textId="77777777" w:rsidR="0017448C" w:rsidRPr="006803DF" w:rsidRDefault="0017448C" w:rsidP="0017448C">
            <w:pPr>
              <w:tabs>
                <w:tab w:val="left" w:pos="7938"/>
              </w:tabs>
              <w:jc w:val="right"/>
              <w:rPr>
                <w:rFonts w:cs="Arial"/>
                <w:bCs/>
              </w:rPr>
            </w:pPr>
          </w:p>
        </w:tc>
      </w:tr>
      <w:tr w:rsidR="003C1423" w:rsidRPr="00B54839" w14:paraId="74FA6D0B"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14:paraId="64AEBC05" w14:textId="77777777" w:rsidR="003C1423" w:rsidRPr="006803DF" w:rsidRDefault="003C1423" w:rsidP="003C1423">
            <w:pPr>
              <w:tabs>
                <w:tab w:val="left" w:pos="7938"/>
              </w:tabs>
              <w:rPr>
                <w:rFonts w:cs="Arial"/>
                <w:bCs/>
              </w:rPr>
            </w:pPr>
          </w:p>
        </w:tc>
        <w:tc>
          <w:tcPr>
            <w:tcW w:w="1338" w:type="dxa"/>
            <w:tcBorders>
              <w:top w:val="nil"/>
              <w:left w:val="nil"/>
              <w:bottom w:val="single" w:sz="4" w:space="0" w:color="auto"/>
              <w:right w:val="single" w:sz="4" w:space="0" w:color="auto"/>
            </w:tcBorders>
            <w:shd w:val="clear" w:color="auto" w:fill="auto"/>
            <w:noWrap/>
          </w:tcPr>
          <w:p w14:paraId="1E6FF4B8" w14:textId="77777777" w:rsidR="003C1423" w:rsidRPr="006803DF" w:rsidRDefault="003C1423" w:rsidP="003C1423">
            <w:pPr>
              <w:jc w:val="right"/>
            </w:pPr>
          </w:p>
        </w:tc>
        <w:tc>
          <w:tcPr>
            <w:tcW w:w="1307" w:type="dxa"/>
            <w:tcBorders>
              <w:top w:val="nil"/>
              <w:left w:val="nil"/>
              <w:bottom w:val="single" w:sz="4" w:space="0" w:color="auto"/>
              <w:right w:val="single" w:sz="4" w:space="0" w:color="auto"/>
            </w:tcBorders>
            <w:shd w:val="clear" w:color="auto" w:fill="auto"/>
            <w:noWrap/>
          </w:tcPr>
          <w:p w14:paraId="480C012C" w14:textId="77777777" w:rsidR="003C1423" w:rsidRPr="006803DF"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14:paraId="0F95D605" w14:textId="77777777" w:rsidR="003C1423" w:rsidRPr="006803DF" w:rsidRDefault="003C1423" w:rsidP="003C1423">
            <w:pPr>
              <w:jc w:val="right"/>
              <w:rPr>
                <w:b/>
              </w:rPr>
            </w:pPr>
          </w:p>
        </w:tc>
        <w:tc>
          <w:tcPr>
            <w:tcW w:w="1450" w:type="dxa"/>
            <w:tcBorders>
              <w:top w:val="nil"/>
              <w:left w:val="nil"/>
              <w:bottom w:val="single" w:sz="4" w:space="0" w:color="auto"/>
              <w:right w:val="single" w:sz="4" w:space="0" w:color="auto"/>
            </w:tcBorders>
            <w:shd w:val="clear" w:color="auto" w:fill="auto"/>
            <w:noWrap/>
          </w:tcPr>
          <w:p w14:paraId="024039EA" w14:textId="77777777" w:rsidR="003C1423" w:rsidRPr="006803DF" w:rsidRDefault="003C1423" w:rsidP="003C1423">
            <w:pPr>
              <w:jc w:val="right"/>
              <w:rPr>
                <w:b/>
              </w:rPr>
            </w:pPr>
          </w:p>
        </w:tc>
      </w:tr>
      <w:tr w:rsidR="003C1423" w:rsidRPr="00B54839" w14:paraId="3278295E"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14:paraId="46363130" w14:textId="77777777" w:rsidR="003C1423" w:rsidRPr="006803DF" w:rsidRDefault="003C1423" w:rsidP="003C1423">
            <w:pPr>
              <w:tabs>
                <w:tab w:val="left" w:pos="7938"/>
              </w:tabs>
              <w:rPr>
                <w:rFonts w:cs="Arial"/>
                <w:b/>
                <w:bCs/>
              </w:rPr>
            </w:pPr>
            <w:r w:rsidRPr="006803DF">
              <w:rPr>
                <w:rFonts w:cs="Arial"/>
                <w:b/>
                <w:bCs/>
              </w:rPr>
              <w:t>Total General Fund</w:t>
            </w:r>
          </w:p>
        </w:tc>
        <w:tc>
          <w:tcPr>
            <w:tcW w:w="1338" w:type="dxa"/>
            <w:tcBorders>
              <w:top w:val="nil"/>
              <w:left w:val="nil"/>
              <w:bottom w:val="single" w:sz="4" w:space="0" w:color="auto"/>
              <w:right w:val="single" w:sz="4" w:space="0" w:color="auto"/>
            </w:tcBorders>
            <w:shd w:val="clear" w:color="auto" w:fill="auto"/>
            <w:noWrap/>
          </w:tcPr>
          <w:p w14:paraId="2809E876" w14:textId="77777777" w:rsidR="003C1423" w:rsidRPr="006803DF" w:rsidRDefault="00002A6D" w:rsidP="00256A10">
            <w:pPr>
              <w:jc w:val="right"/>
              <w:rPr>
                <w:b/>
              </w:rPr>
            </w:pPr>
            <w:r w:rsidRPr="006803DF">
              <w:rPr>
                <w:b/>
              </w:rPr>
              <w:t>1</w:t>
            </w:r>
            <w:r w:rsidR="0097796B">
              <w:rPr>
                <w:b/>
              </w:rPr>
              <w:t>1</w:t>
            </w:r>
            <w:r w:rsidR="00E551D3">
              <w:rPr>
                <w:b/>
              </w:rPr>
              <w:t>6</w:t>
            </w:r>
            <w:r w:rsidRPr="006803DF">
              <w:rPr>
                <w:b/>
              </w:rPr>
              <w:t>,</w:t>
            </w:r>
            <w:r w:rsidR="00E551D3">
              <w:rPr>
                <w:b/>
              </w:rPr>
              <w:t>9</w:t>
            </w:r>
            <w:r w:rsidR="00256A10">
              <w:rPr>
                <w:b/>
              </w:rPr>
              <w:t>71</w:t>
            </w:r>
          </w:p>
        </w:tc>
        <w:tc>
          <w:tcPr>
            <w:tcW w:w="1307" w:type="dxa"/>
            <w:tcBorders>
              <w:top w:val="nil"/>
              <w:left w:val="nil"/>
              <w:bottom w:val="single" w:sz="4" w:space="0" w:color="auto"/>
              <w:right w:val="single" w:sz="4" w:space="0" w:color="auto"/>
            </w:tcBorders>
            <w:shd w:val="clear" w:color="auto" w:fill="auto"/>
            <w:noWrap/>
          </w:tcPr>
          <w:p w14:paraId="1F27D188" w14:textId="77777777" w:rsidR="003C1423" w:rsidRPr="006803DF" w:rsidRDefault="0097796B" w:rsidP="0042017F">
            <w:pPr>
              <w:jc w:val="right"/>
              <w:rPr>
                <w:b/>
              </w:rPr>
            </w:pPr>
            <w:r>
              <w:rPr>
                <w:b/>
              </w:rPr>
              <w:t>5</w:t>
            </w:r>
            <w:r w:rsidR="0042017F">
              <w:rPr>
                <w:b/>
              </w:rPr>
              <w:t>5</w:t>
            </w:r>
            <w:r>
              <w:rPr>
                <w:b/>
              </w:rPr>
              <w:t>,010</w:t>
            </w:r>
          </w:p>
        </w:tc>
        <w:tc>
          <w:tcPr>
            <w:tcW w:w="1450" w:type="dxa"/>
            <w:tcBorders>
              <w:top w:val="nil"/>
              <w:left w:val="nil"/>
              <w:bottom w:val="single" w:sz="4" w:space="0" w:color="auto"/>
              <w:right w:val="single" w:sz="4" w:space="0" w:color="auto"/>
            </w:tcBorders>
            <w:shd w:val="clear" w:color="auto" w:fill="auto"/>
            <w:noWrap/>
          </w:tcPr>
          <w:p w14:paraId="559E2001" w14:textId="77777777" w:rsidR="003C1423" w:rsidRPr="006803DF" w:rsidRDefault="00002A6D" w:rsidP="0097796B">
            <w:pPr>
              <w:jc w:val="right"/>
              <w:rPr>
                <w:b/>
              </w:rPr>
            </w:pPr>
            <w:r w:rsidRPr="006803DF">
              <w:rPr>
                <w:b/>
              </w:rPr>
              <w:t>8</w:t>
            </w:r>
            <w:r w:rsidR="0097796B">
              <w:rPr>
                <w:b/>
              </w:rPr>
              <w:t>1</w:t>
            </w:r>
            <w:r w:rsidRPr="006803DF">
              <w:rPr>
                <w:b/>
              </w:rPr>
              <w:t>,</w:t>
            </w:r>
            <w:r w:rsidR="0097796B">
              <w:rPr>
                <w:b/>
              </w:rPr>
              <w:t>256</w:t>
            </w:r>
          </w:p>
        </w:tc>
        <w:tc>
          <w:tcPr>
            <w:tcW w:w="1450" w:type="dxa"/>
            <w:tcBorders>
              <w:top w:val="nil"/>
              <w:left w:val="nil"/>
              <w:bottom w:val="single" w:sz="4" w:space="0" w:color="auto"/>
              <w:right w:val="single" w:sz="4" w:space="0" w:color="auto"/>
            </w:tcBorders>
            <w:shd w:val="clear" w:color="auto" w:fill="auto"/>
            <w:noWrap/>
          </w:tcPr>
          <w:p w14:paraId="2E3E98C9" w14:textId="77777777" w:rsidR="003C1423" w:rsidRPr="006803DF" w:rsidRDefault="00002A6D" w:rsidP="00CA53B8">
            <w:pPr>
              <w:jc w:val="right"/>
              <w:rPr>
                <w:b/>
              </w:rPr>
            </w:pPr>
            <w:r w:rsidRPr="006803DF">
              <w:rPr>
                <w:b/>
              </w:rPr>
              <w:t>24,926</w:t>
            </w:r>
          </w:p>
        </w:tc>
      </w:tr>
      <w:tr w:rsidR="003C1423" w:rsidRPr="00B54839" w14:paraId="5F737E48" w14:textId="77777777" w:rsidTr="00EF7FF3">
        <w:trPr>
          <w:trHeight w:val="300"/>
        </w:trPr>
        <w:tc>
          <w:tcPr>
            <w:tcW w:w="3581" w:type="dxa"/>
            <w:tcBorders>
              <w:top w:val="nil"/>
              <w:left w:val="single" w:sz="4" w:space="0" w:color="auto"/>
              <w:bottom w:val="single" w:sz="4" w:space="0" w:color="auto"/>
              <w:right w:val="single" w:sz="4" w:space="0" w:color="auto"/>
            </w:tcBorders>
            <w:shd w:val="clear" w:color="000000" w:fill="D9D9D9"/>
            <w:vAlign w:val="center"/>
          </w:tcPr>
          <w:p w14:paraId="46D7C687" w14:textId="77777777" w:rsidR="003C1423" w:rsidRPr="006803DF" w:rsidRDefault="003C1423" w:rsidP="003C1423">
            <w:pPr>
              <w:tabs>
                <w:tab w:val="left" w:pos="7938"/>
              </w:tabs>
              <w:rPr>
                <w:rFonts w:cs="Arial"/>
                <w:bCs/>
              </w:rPr>
            </w:pPr>
            <w:r w:rsidRPr="006803DF">
              <w:rPr>
                <w:rFonts w:cs="Arial"/>
                <w:b/>
                <w:bCs/>
              </w:rPr>
              <w:t>HRA</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5EE7F88A" w14:textId="77777777" w:rsidR="003C1423" w:rsidRPr="006803DF" w:rsidRDefault="003C1423" w:rsidP="003C1423">
            <w:pPr>
              <w:tabs>
                <w:tab w:val="left" w:pos="7938"/>
              </w:tabs>
              <w:jc w:val="right"/>
              <w:rPr>
                <w:rFonts w:cs="Arial"/>
                <w:bCs/>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0436BBA0" w14:textId="77777777" w:rsidR="003C1423" w:rsidRPr="006803DF" w:rsidRDefault="003C1423" w:rsidP="003C1423">
            <w:pPr>
              <w:tabs>
                <w:tab w:val="left" w:pos="7938"/>
              </w:tabs>
              <w:jc w:val="right"/>
              <w:rPr>
                <w:rFonts w:cs="Arial"/>
                <w:bCs/>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14:paraId="42C89568" w14:textId="77777777" w:rsidR="003C1423" w:rsidRPr="006803DF" w:rsidRDefault="003C1423" w:rsidP="003C1423">
            <w:pPr>
              <w:tabs>
                <w:tab w:val="left" w:pos="7938"/>
              </w:tabs>
              <w:jc w:val="right"/>
              <w:rPr>
                <w:rFonts w:cs="Arial"/>
                <w:bCs/>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14:paraId="24189E09" w14:textId="77777777" w:rsidR="003C1423" w:rsidRPr="006803DF" w:rsidRDefault="003C1423" w:rsidP="003C1423">
            <w:pPr>
              <w:tabs>
                <w:tab w:val="left" w:pos="7938"/>
              </w:tabs>
              <w:jc w:val="right"/>
              <w:rPr>
                <w:rFonts w:cs="Arial"/>
                <w:bCs/>
              </w:rPr>
            </w:pPr>
          </w:p>
        </w:tc>
      </w:tr>
      <w:tr w:rsidR="003C1423" w:rsidRPr="00B54839" w14:paraId="2A5754E4"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14:paraId="6CC08724" w14:textId="77777777" w:rsidR="003C1423" w:rsidRPr="006803DF" w:rsidRDefault="003C1423" w:rsidP="003C1423">
            <w:pPr>
              <w:tabs>
                <w:tab w:val="left" w:pos="7938"/>
              </w:tabs>
              <w:rPr>
                <w:rFonts w:cs="Arial"/>
                <w:bCs/>
              </w:rPr>
            </w:pPr>
            <w:r w:rsidRPr="006803DF">
              <w:rPr>
                <w:rFonts w:cs="Arial"/>
                <w:b/>
                <w:bCs/>
              </w:rPr>
              <w:t>Consultation Budget Spend</w:t>
            </w:r>
          </w:p>
        </w:tc>
        <w:tc>
          <w:tcPr>
            <w:tcW w:w="1338" w:type="dxa"/>
            <w:tcBorders>
              <w:top w:val="nil"/>
              <w:left w:val="nil"/>
              <w:bottom w:val="single" w:sz="4" w:space="0" w:color="auto"/>
              <w:right w:val="single" w:sz="4" w:space="0" w:color="auto"/>
            </w:tcBorders>
            <w:shd w:val="clear" w:color="auto" w:fill="auto"/>
            <w:noWrap/>
            <w:vAlign w:val="center"/>
          </w:tcPr>
          <w:p w14:paraId="310D5B01" w14:textId="77777777" w:rsidR="003C1423" w:rsidRPr="006803DF" w:rsidRDefault="009E6C62" w:rsidP="003C1423">
            <w:pPr>
              <w:tabs>
                <w:tab w:val="left" w:pos="7938"/>
              </w:tabs>
              <w:jc w:val="right"/>
              <w:rPr>
                <w:rFonts w:cs="Arial"/>
                <w:b/>
                <w:bCs/>
              </w:rPr>
            </w:pPr>
            <w:r w:rsidRPr="006803DF">
              <w:rPr>
                <w:rFonts w:cs="Arial"/>
                <w:b/>
                <w:bCs/>
              </w:rPr>
              <w:t>98,693</w:t>
            </w:r>
          </w:p>
        </w:tc>
        <w:tc>
          <w:tcPr>
            <w:tcW w:w="1307" w:type="dxa"/>
            <w:tcBorders>
              <w:top w:val="nil"/>
              <w:left w:val="nil"/>
              <w:bottom w:val="single" w:sz="4" w:space="0" w:color="auto"/>
              <w:right w:val="single" w:sz="4" w:space="0" w:color="auto"/>
            </w:tcBorders>
            <w:shd w:val="clear" w:color="auto" w:fill="auto"/>
            <w:noWrap/>
            <w:vAlign w:val="center"/>
          </w:tcPr>
          <w:p w14:paraId="6868F0A1" w14:textId="77777777" w:rsidR="003C1423" w:rsidRPr="006803DF" w:rsidRDefault="009E6C62" w:rsidP="003C1423">
            <w:pPr>
              <w:tabs>
                <w:tab w:val="left" w:pos="7938"/>
              </w:tabs>
              <w:jc w:val="right"/>
              <w:rPr>
                <w:rFonts w:cs="Arial"/>
                <w:b/>
                <w:bCs/>
              </w:rPr>
            </w:pPr>
            <w:r w:rsidRPr="006803DF">
              <w:rPr>
                <w:rFonts w:cs="Arial"/>
                <w:b/>
                <w:bCs/>
              </w:rPr>
              <w:t>78,869</w:t>
            </w:r>
          </w:p>
        </w:tc>
        <w:tc>
          <w:tcPr>
            <w:tcW w:w="1450" w:type="dxa"/>
            <w:tcBorders>
              <w:top w:val="nil"/>
              <w:left w:val="nil"/>
              <w:bottom w:val="single" w:sz="4" w:space="0" w:color="auto"/>
              <w:right w:val="single" w:sz="4" w:space="0" w:color="auto"/>
            </w:tcBorders>
            <w:shd w:val="clear" w:color="auto" w:fill="auto"/>
            <w:noWrap/>
            <w:vAlign w:val="center"/>
          </w:tcPr>
          <w:p w14:paraId="1CE44454" w14:textId="77777777" w:rsidR="003C1423" w:rsidRPr="006803DF" w:rsidRDefault="009E6C62" w:rsidP="009E6C62">
            <w:pPr>
              <w:tabs>
                <w:tab w:val="left" w:pos="7938"/>
              </w:tabs>
              <w:jc w:val="right"/>
              <w:rPr>
                <w:rFonts w:cs="Arial"/>
                <w:b/>
                <w:bCs/>
              </w:rPr>
            </w:pPr>
            <w:r w:rsidRPr="006803DF">
              <w:rPr>
                <w:rFonts w:cs="Arial"/>
                <w:b/>
                <w:bCs/>
              </w:rPr>
              <w:t>84,621</w:t>
            </w:r>
          </w:p>
        </w:tc>
        <w:tc>
          <w:tcPr>
            <w:tcW w:w="1450" w:type="dxa"/>
            <w:tcBorders>
              <w:top w:val="nil"/>
              <w:left w:val="nil"/>
              <w:bottom w:val="single" w:sz="4" w:space="0" w:color="auto"/>
              <w:right w:val="single" w:sz="4" w:space="0" w:color="auto"/>
            </w:tcBorders>
            <w:shd w:val="clear" w:color="auto" w:fill="auto"/>
            <w:noWrap/>
            <w:vAlign w:val="center"/>
          </w:tcPr>
          <w:p w14:paraId="7C1E1D4F" w14:textId="77777777" w:rsidR="003C1423" w:rsidRPr="006803DF" w:rsidRDefault="009E6C62" w:rsidP="003C1423">
            <w:pPr>
              <w:tabs>
                <w:tab w:val="left" w:pos="7938"/>
              </w:tabs>
              <w:jc w:val="right"/>
              <w:rPr>
                <w:rFonts w:cs="Arial"/>
                <w:b/>
                <w:bCs/>
              </w:rPr>
            </w:pPr>
            <w:r w:rsidRPr="006803DF">
              <w:rPr>
                <w:rFonts w:cs="Arial"/>
                <w:b/>
                <w:bCs/>
              </w:rPr>
              <w:t>171,155</w:t>
            </w:r>
          </w:p>
        </w:tc>
      </w:tr>
      <w:tr w:rsidR="00C66F38" w:rsidRPr="00B54839" w14:paraId="0CF85F82"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tcPr>
          <w:p w14:paraId="73606599" w14:textId="77777777" w:rsidR="00C66F38" w:rsidRPr="006803DF" w:rsidRDefault="00C66F38" w:rsidP="00C66F38">
            <w:r w:rsidRPr="006803DF">
              <w:t xml:space="preserve">Re-profiling of properties purchased from </w:t>
            </w:r>
            <w:proofErr w:type="spellStart"/>
            <w:r w:rsidRPr="006803DF">
              <w:t>OXPlace</w:t>
            </w:r>
            <w:proofErr w:type="spellEnd"/>
          </w:p>
        </w:tc>
        <w:tc>
          <w:tcPr>
            <w:tcW w:w="1338" w:type="dxa"/>
            <w:tcBorders>
              <w:top w:val="nil"/>
              <w:left w:val="nil"/>
              <w:bottom w:val="single" w:sz="4" w:space="0" w:color="auto"/>
              <w:right w:val="single" w:sz="4" w:space="0" w:color="auto"/>
            </w:tcBorders>
            <w:shd w:val="clear" w:color="auto" w:fill="auto"/>
            <w:noWrap/>
          </w:tcPr>
          <w:p w14:paraId="54269651" w14:textId="77777777" w:rsidR="00C66F38" w:rsidRPr="006803DF" w:rsidRDefault="00C66F38" w:rsidP="00CB79F6">
            <w:pPr>
              <w:jc w:val="right"/>
            </w:pPr>
            <w:r w:rsidRPr="006803DF">
              <w:t>12,</w:t>
            </w:r>
            <w:r w:rsidR="00CB79F6">
              <w:t>513</w:t>
            </w:r>
          </w:p>
        </w:tc>
        <w:tc>
          <w:tcPr>
            <w:tcW w:w="1307" w:type="dxa"/>
            <w:tcBorders>
              <w:top w:val="nil"/>
              <w:left w:val="nil"/>
              <w:bottom w:val="single" w:sz="4" w:space="0" w:color="auto"/>
              <w:right w:val="single" w:sz="4" w:space="0" w:color="auto"/>
            </w:tcBorders>
            <w:shd w:val="clear" w:color="auto" w:fill="auto"/>
            <w:noWrap/>
            <w:vAlign w:val="center"/>
          </w:tcPr>
          <w:p w14:paraId="67618574" w14:textId="77777777" w:rsidR="00C66F38" w:rsidRPr="006803DF" w:rsidRDefault="00C66F38" w:rsidP="008A0787">
            <w:pPr>
              <w:tabs>
                <w:tab w:val="left" w:pos="7938"/>
              </w:tabs>
              <w:jc w:val="right"/>
              <w:rPr>
                <w:rFonts w:cs="Arial"/>
                <w:bCs/>
              </w:rPr>
            </w:pPr>
            <w:r w:rsidRPr="006803DF">
              <w:rPr>
                <w:rFonts w:cs="Arial"/>
                <w:bCs/>
              </w:rPr>
              <w:t>40,54</w:t>
            </w:r>
            <w:r w:rsidR="008A0787">
              <w:rPr>
                <w:rFonts w:cs="Arial"/>
                <w:bCs/>
              </w:rPr>
              <w:t>1</w:t>
            </w:r>
          </w:p>
        </w:tc>
        <w:tc>
          <w:tcPr>
            <w:tcW w:w="1450" w:type="dxa"/>
            <w:tcBorders>
              <w:top w:val="nil"/>
              <w:left w:val="nil"/>
              <w:bottom w:val="single" w:sz="4" w:space="0" w:color="auto"/>
              <w:right w:val="single" w:sz="4" w:space="0" w:color="auto"/>
            </w:tcBorders>
            <w:shd w:val="clear" w:color="auto" w:fill="auto"/>
            <w:noWrap/>
            <w:vAlign w:val="center"/>
          </w:tcPr>
          <w:p w14:paraId="23499FCA" w14:textId="77777777" w:rsidR="00C66F38" w:rsidRPr="006803DF" w:rsidRDefault="00C66F38" w:rsidP="00C66F38">
            <w:pPr>
              <w:tabs>
                <w:tab w:val="left" w:pos="7938"/>
              </w:tabs>
              <w:jc w:val="right"/>
              <w:rPr>
                <w:rFonts w:cs="Arial"/>
                <w:bCs/>
              </w:rPr>
            </w:pPr>
            <w:r w:rsidRPr="006803DF">
              <w:rPr>
                <w:rFonts w:cs="Arial"/>
                <w:bCs/>
              </w:rPr>
              <w:t>(40,342)</w:t>
            </w:r>
          </w:p>
        </w:tc>
        <w:tc>
          <w:tcPr>
            <w:tcW w:w="1450" w:type="dxa"/>
            <w:tcBorders>
              <w:top w:val="nil"/>
              <w:left w:val="nil"/>
              <w:bottom w:val="single" w:sz="4" w:space="0" w:color="auto"/>
              <w:right w:val="single" w:sz="4" w:space="0" w:color="auto"/>
            </w:tcBorders>
            <w:shd w:val="clear" w:color="auto" w:fill="auto"/>
            <w:noWrap/>
            <w:vAlign w:val="center"/>
          </w:tcPr>
          <w:p w14:paraId="5A83CA65" w14:textId="77777777" w:rsidR="00CB79F6" w:rsidRPr="006803DF" w:rsidRDefault="00CB79F6" w:rsidP="00CB79F6">
            <w:pPr>
              <w:tabs>
                <w:tab w:val="left" w:pos="7938"/>
              </w:tabs>
              <w:jc w:val="right"/>
              <w:rPr>
                <w:rFonts w:cs="Arial"/>
                <w:bCs/>
              </w:rPr>
            </w:pPr>
            <w:r>
              <w:rPr>
                <w:rFonts w:cs="Arial"/>
                <w:bCs/>
              </w:rPr>
              <w:t>22,350</w:t>
            </w:r>
          </w:p>
        </w:tc>
      </w:tr>
      <w:tr w:rsidR="00591C00" w:rsidRPr="00B54839" w14:paraId="79988588"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tcPr>
          <w:p w14:paraId="2F74B766" w14:textId="77777777" w:rsidR="00591C00" w:rsidRPr="006803DF" w:rsidRDefault="00591C00" w:rsidP="00C66F38">
            <w:r>
              <w:t>C</w:t>
            </w:r>
            <w:r w:rsidR="007A5788">
              <w:t>lima</w:t>
            </w:r>
            <w:r>
              <w:t>te change works</w:t>
            </w:r>
          </w:p>
        </w:tc>
        <w:tc>
          <w:tcPr>
            <w:tcW w:w="1338" w:type="dxa"/>
            <w:tcBorders>
              <w:top w:val="nil"/>
              <w:left w:val="nil"/>
              <w:bottom w:val="single" w:sz="4" w:space="0" w:color="auto"/>
              <w:right w:val="single" w:sz="4" w:space="0" w:color="auto"/>
            </w:tcBorders>
            <w:shd w:val="clear" w:color="auto" w:fill="auto"/>
            <w:noWrap/>
          </w:tcPr>
          <w:p w14:paraId="2BAC8E3C" w14:textId="77777777" w:rsidR="00591C00" w:rsidRPr="006803DF" w:rsidRDefault="008C2D45" w:rsidP="00A56CEE">
            <w:pPr>
              <w:jc w:val="right"/>
            </w:pPr>
            <w:r>
              <w:t>0</w:t>
            </w:r>
          </w:p>
        </w:tc>
        <w:tc>
          <w:tcPr>
            <w:tcW w:w="1307" w:type="dxa"/>
            <w:tcBorders>
              <w:top w:val="nil"/>
              <w:left w:val="nil"/>
              <w:bottom w:val="single" w:sz="4" w:space="0" w:color="auto"/>
              <w:right w:val="single" w:sz="4" w:space="0" w:color="auto"/>
            </w:tcBorders>
            <w:shd w:val="clear" w:color="auto" w:fill="auto"/>
            <w:noWrap/>
            <w:vAlign w:val="center"/>
          </w:tcPr>
          <w:p w14:paraId="15D966E5" w14:textId="77777777" w:rsidR="00591C00" w:rsidRPr="006803DF" w:rsidRDefault="00591C00" w:rsidP="00C66F38">
            <w:pPr>
              <w:tabs>
                <w:tab w:val="left" w:pos="7938"/>
              </w:tabs>
              <w:jc w:val="right"/>
              <w:rPr>
                <w:rFonts w:cs="Arial"/>
                <w:bCs/>
              </w:rPr>
            </w:pPr>
            <w:r>
              <w:rPr>
                <w:rFonts w:cs="Arial"/>
                <w:bCs/>
              </w:rPr>
              <w:t>0</w:t>
            </w:r>
          </w:p>
        </w:tc>
        <w:tc>
          <w:tcPr>
            <w:tcW w:w="1450" w:type="dxa"/>
            <w:tcBorders>
              <w:top w:val="nil"/>
              <w:left w:val="nil"/>
              <w:bottom w:val="single" w:sz="4" w:space="0" w:color="auto"/>
              <w:right w:val="single" w:sz="4" w:space="0" w:color="auto"/>
            </w:tcBorders>
            <w:shd w:val="clear" w:color="auto" w:fill="auto"/>
            <w:noWrap/>
            <w:vAlign w:val="center"/>
          </w:tcPr>
          <w:p w14:paraId="504D2386" w14:textId="77777777" w:rsidR="00591C00" w:rsidRPr="006803DF" w:rsidRDefault="00591C00" w:rsidP="00C66F38">
            <w:pPr>
              <w:tabs>
                <w:tab w:val="left" w:pos="7938"/>
              </w:tabs>
              <w:jc w:val="right"/>
              <w:rPr>
                <w:rFonts w:cs="Arial"/>
                <w:bCs/>
              </w:rPr>
            </w:pPr>
            <w:r>
              <w:rPr>
                <w:rFonts w:cs="Arial"/>
                <w:bCs/>
              </w:rPr>
              <w:t>0</w:t>
            </w:r>
          </w:p>
        </w:tc>
        <w:tc>
          <w:tcPr>
            <w:tcW w:w="1450" w:type="dxa"/>
            <w:tcBorders>
              <w:top w:val="nil"/>
              <w:left w:val="nil"/>
              <w:bottom w:val="single" w:sz="4" w:space="0" w:color="auto"/>
              <w:right w:val="single" w:sz="4" w:space="0" w:color="auto"/>
            </w:tcBorders>
            <w:shd w:val="clear" w:color="auto" w:fill="auto"/>
            <w:noWrap/>
            <w:vAlign w:val="center"/>
          </w:tcPr>
          <w:p w14:paraId="3A58BEB2" w14:textId="77777777" w:rsidR="00591C00" w:rsidRPr="006803DF" w:rsidRDefault="00591C00" w:rsidP="00C66F38">
            <w:pPr>
              <w:tabs>
                <w:tab w:val="left" w:pos="7938"/>
              </w:tabs>
              <w:jc w:val="right"/>
              <w:rPr>
                <w:rFonts w:cs="Arial"/>
                <w:bCs/>
              </w:rPr>
            </w:pPr>
            <w:r>
              <w:rPr>
                <w:rFonts w:cs="Arial"/>
                <w:bCs/>
              </w:rPr>
              <w:t>4,000</w:t>
            </w:r>
          </w:p>
        </w:tc>
      </w:tr>
      <w:tr w:rsidR="00C66F38" w:rsidRPr="00B54839" w14:paraId="1C49EA0E"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tcPr>
          <w:p w14:paraId="6B47AE8F" w14:textId="77777777" w:rsidR="00C66F38" w:rsidRPr="006803DF" w:rsidRDefault="00C66F38" w:rsidP="00C66F38">
            <w:r w:rsidRPr="008A0787">
              <w:t>Other slippages and re-profi</w:t>
            </w:r>
            <w:r w:rsidR="001A7E9E" w:rsidRPr="008A0787">
              <w:t>l</w:t>
            </w:r>
            <w:r w:rsidRPr="008A0787">
              <w:t>ing of spend</w:t>
            </w:r>
          </w:p>
        </w:tc>
        <w:tc>
          <w:tcPr>
            <w:tcW w:w="1338" w:type="dxa"/>
            <w:tcBorders>
              <w:top w:val="nil"/>
              <w:left w:val="nil"/>
              <w:bottom w:val="single" w:sz="4" w:space="0" w:color="auto"/>
              <w:right w:val="single" w:sz="4" w:space="0" w:color="auto"/>
            </w:tcBorders>
            <w:shd w:val="clear" w:color="auto" w:fill="auto"/>
            <w:noWrap/>
          </w:tcPr>
          <w:p w14:paraId="3800A367" w14:textId="77777777" w:rsidR="00C66F38" w:rsidRPr="006803DF" w:rsidRDefault="00256A10" w:rsidP="0097796B">
            <w:pPr>
              <w:jc w:val="right"/>
            </w:pPr>
            <w:r>
              <w:t>7,981</w:t>
            </w:r>
          </w:p>
        </w:tc>
        <w:tc>
          <w:tcPr>
            <w:tcW w:w="1307" w:type="dxa"/>
            <w:tcBorders>
              <w:top w:val="nil"/>
              <w:left w:val="nil"/>
              <w:bottom w:val="single" w:sz="4" w:space="0" w:color="auto"/>
              <w:right w:val="single" w:sz="4" w:space="0" w:color="auto"/>
            </w:tcBorders>
            <w:shd w:val="clear" w:color="auto" w:fill="auto"/>
            <w:noWrap/>
            <w:vAlign w:val="center"/>
          </w:tcPr>
          <w:p w14:paraId="0B897F36" w14:textId="77777777" w:rsidR="00C66F38" w:rsidRPr="006803DF" w:rsidRDefault="00E551D3" w:rsidP="00C66F38">
            <w:pPr>
              <w:tabs>
                <w:tab w:val="left" w:pos="7938"/>
              </w:tabs>
              <w:jc w:val="right"/>
              <w:rPr>
                <w:rFonts w:cs="Arial"/>
                <w:bCs/>
              </w:rPr>
            </w:pPr>
            <w:r>
              <w:rPr>
                <w:rFonts w:cs="Arial"/>
                <w:bCs/>
              </w:rPr>
              <w:t>1,86</w:t>
            </w:r>
            <w:r w:rsidR="00256A10">
              <w:rPr>
                <w:rFonts w:cs="Arial"/>
                <w:bCs/>
              </w:rPr>
              <w:t>5</w:t>
            </w:r>
          </w:p>
        </w:tc>
        <w:tc>
          <w:tcPr>
            <w:tcW w:w="1450" w:type="dxa"/>
            <w:tcBorders>
              <w:top w:val="nil"/>
              <w:left w:val="nil"/>
              <w:bottom w:val="single" w:sz="4" w:space="0" w:color="auto"/>
              <w:right w:val="single" w:sz="4" w:space="0" w:color="auto"/>
            </w:tcBorders>
            <w:shd w:val="clear" w:color="auto" w:fill="auto"/>
            <w:noWrap/>
            <w:vAlign w:val="center"/>
          </w:tcPr>
          <w:p w14:paraId="34E1F776" w14:textId="77777777" w:rsidR="00C66F38" w:rsidRPr="006803DF" w:rsidRDefault="00256A10" w:rsidP="00C66F38">
            <w:pPr>
              <w:tabs>
                <w:tab w:val="left" w:pos="7938"/>
              </w:tabs>
              <w:jc w:val="right"/>
              <w:rPr>
                <w:rFonts w:cs="Arial"/>
                <w:bCs/>
              </w:rPr>
            </w:pPr>
            <w:r>
              <w:rPr>
                <w:rFonts w:cs="Arial"/>
                <w:bCs/>
              </w:rPr>
              <w:t>(</w:t>
            </w:r>
            <w:r w:rsidR="00E551D3">
              <w:rPr>
                <w:rFonts w:cs="Arial"/>
                <w:bCs/>
              </w:rPr>
              <w:t>295</w:t>
            </w:r>
            <w:r>
              <w:rPr>
                <w:rFonts w:cs="Arial"/>
                <w:bCs/>
              </w:rPr>
              <w:t>)</w:t>
            </w:r>
          </w:p>
        </w:tc>
        <w:tc>
          <w:tcPr>
            <w:tcW w:w="1450" w:type="dxa"/>
            <w:tcBorders>
              <w:top w:val="nil"/>
              <w:left w:val="nil"/>
              <w:bottom w:val="single" w:sz="4" w:space="0" w:color="auto"/>
              <w:right w:val="single" w:sz="4" w:space="0" w:color="auto"/>
            </w:tcBorders>
            <w:shd w:val="clear" w:color="auto" w:fill="auto"/>
            <w:noWrap/>
            <w:vAlign w:val="center"/>
          </w:tcPr>
          <w:p w14:paraId="5BDF3039" w14:textId="77777777" w:rsidR="00C66F38" w:rsidRPr="006803DF" w:rsidRDefault="00256A10" w:rsidP="00C66F38">
            <w:pPr>
              <w:tabs>
                <w:tab w:val="left" w:pos="7938"/>
              </w:tabs>
              <w:jc w:val="right"/>
              <w:rPr>
                <w:rFonts w:cs="Arial"/>
                <w:bCs/>
              </w:rPr>
            </w:pPr>
            <w:r>
              <w:rPr>
                <w:rFonts w:cs="Arial"/>
                <w:bCs/>
              </w:rPr>
              <w:t>(</w:t>
            </w:r>
            <w:r w:rsidR="00E551D3">
              <w:rPr>
                <w:rFonts w:cs="Arial"/>
                <w:bCs/>
              </w:rPr>
              <w:t>934</w:t>
            </w:r>
            <w:r>
              <w:rPr>
                <w:rFonts w:cs="Arial"/>
                <w:bCs/>
              </w:rPr>
              <w:t>)</w:t>
            </w:r>
          </w:p>
        </w:tc>
      </w:tr>
      <w:tr w:rsidR="00C66F38" w:rsidRPr="00B54839" w14:paraId="53006023"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tcPr>
          <w:p w14:paraId="5AA4CB6A" w14:textId="77777777" w:rsidR="00C66F38" w:rsidRPr="006803DF" w:rsidRDefault="0065196F" w:rsidP="00C66F38">
            <w:r>
              <w:t>Northfield House</w:t>
            </w:r>
          </w:p>
        </w:tc>
        <w:tc>
          <w:tcPr>
            <w:tcW w:w="1338" w:type="dxa"/>
            <w:tcBorders>
              <w:top w:val="nil"/>
              <w:left w:val="nil"/>
              <w:bottom w:val="single" w:sz="4" w:space="0" w:color="auto"/>
              <w:right w:val="single" w:sz="4" w:space="0" w:color="auto"/>
            </w:tcBorders>
            <w:shd w:val="clear" w:color="auto" w:fill="auto"/>
            <w:noWrap/>
          </w:tcPr>
          <w:p w14:paraId="7F1C816A" w14:textId="77777777" w:rsidR="00C66F38" w:rsidRPr="006803DF" w:rsidRDefault="00FF2BEF" w:rsidP="00C66F38">
            <w:pPr>
              <w:jc w:val="right"/>
            </w:pPr>
            <w:r>
              <w:t>(780)</w:t>
            </w:r>
          </w:p>
        </w:tc>
        <w:tc>
          <w:tcPr>
            <w:tcW w:w="1307" w:type="dxa"/>
            <w:tcBorders>
              <w:top w:val="nil"/>
              <w:left w:val="nil"/>
              <w:bottom w:val="single" w:sz="4" w:space="0" w:color="auto"/>
              <w:right w:val="single" w:sz="4" w:space="0" w:color="auto"/>
            </w:tcBorders>
            <w:shd w:val="clear" w:color="auto" w:fill="auto"/>
            <w:noWrap/>
            <w:vAlign w:val="center"/>
          </w:tcPr>
          <w:p w14:paraId="039DAC88" w14:textId="77777777" w:rsidR="00C66F38" w:rsidRPr="006803DF" w:rsidRDefault="00FF2BEF" w:rsidP="00C66F38">
            <w:pPr>
              <w:tabs>
                <w:tab w:val="left" w:pos="7938"/>
              </w:tabs>
              <w:jc w:val="right"/>
              <w:rPr>
                <w:rFonts w:cs="Arial"/>
                <w:bCs/>
              </w:rPr>
            </w:pPr>
            <w:r>
              <w:rPr>
                <w:rFonts w:cs="Arial"/>
                <w:bCs/>
              </w:rPr>
              <w:t>8,057</w:t>
            </w:r>
          </w:p>
        </w:tc>
        <w:tc>
          <w:tcPr>
            <w:tcW w:w="1450" w:type="dxa"/>
            <w:tcBorders>
              <w:top w:val="nil"/>
              <w:left w:val="nil"/>
              <w:bottom w:val="single" w:sz="4" w:space="0" w:color="auto"/>
              <w:right w:val="single" w:sz="4" w:space="0" w:color="auto"/>
            </w:tcBorders>
            <w:shd w:val="clear" w:color="auto" w:fill="auto"/>
            <w:noWrap/>
            <w:vAlign w:val="center"/>
          </w:tcPr>
          <w:p w14:paraId="52F09BF8" w14:textId="77777777" w:rsidR="00C66F38" w:rsidRPr="006803DF" w:rsidRDefault="008A0787" w:rsidP="00C66F38">
            <w:pPr>
              <w:tabs>
                <w:tab w:val="left" w:pos="7938"/>
              </w:tabs>
              <w:jc w:val="right"/>
              <w:rPr>
                <w:rFonts w:cs="Arial"/>
                <w:bCs/>
              </w:rPr>
            </w:pPr>
            <w:r>
              <w:rPr>
                <w:rFonts w:cs="Arial"/>
                <w:bCs/>
              </w:rPr>
              <w:t>0</w:t>
            </w:r>
          </w:p>
        </w:tc>
        <w:tc>
          <w:tcPr>
            <w:tcW w:w="1450" w:type="dxa"/>
            <w:tcBorders>
              <w:top w:val="nil"/>
              <w:left w:val="nil"/>
              <w:bottom w:val="single" w:sz="4" w:space="0" w:color="auto"/>
              <w:right w:val="single" w:sz="4" w:space="0" w:color="auto"/>
            </w:tcBorders>
            <w:shd w:val="clear" w:color="auto" w:fill="auto"/>
            <w:noWrap/>
            <w:vAlign w:val="center"/>
          </w:tcPr>
          <w:p w14:paraId="739C6CA1" w14:textId="77777777" w:rsidR="00C66F38" w:rsidRPr="006803DF" w:rsidRDefault="008A0787" w:rsidP="00C66F38">
            <w:pPr>
              <w:tabs>
                <w:tab w:val="left" w:pos="7938"/>
              </w:tabs>
              <w:jc w:val="right"/>
              <w:rPr>
                <w:rFonts w:cs="Arial"/>
                <w:bCs/>
              </w:rPr>
            </w:pPr>
            <w:r>
              <w:rPr>
                <w:rFonts w:cs="Arial"/>
                <w:bCs/>
              </w:rPr>
              <w:t>0</w:t>
            </w:r>
          </w:p>
        </w:tc>
      </w:tr>
      <w:tr w:rsidR="00CA786F" w:rsidRPr="00B54839" w14:paraId="2C476F49"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14:paraId="5074FE19" w14:textId="77777777" w:rsidR="00CA786F" w:rsidRPr="008A0787" w:rsidRDefault="001C0F35" w:rsidP="00C66F38">
            <w:pPr>
              <w:tabs>
                <w:tab w:val="left" w:pos="7938"/>
              </w:tabs>
              <w:rPr>
                <w:rFonts w:cs="Arial"/>
                <w:bCs/>
              </w:rPr>
            </w:pPr>
            <w:r w:rsidRPr="008A0787">
              <w:rPr>
                <w:rFonts w:cs="Arial"/>
                <w:bCs/>
              </w:rPr>
              <w:t>QL Improv</w:t>
            </w:r>
            <w:r w:rsidR="00B51A8D" w:rsidRPr="008A0787">
              <w:rPr>
                <w:rFonts w:cs="Arial"/>
                <w:bCs/>
              </w:rPr>
              <w:t>e</w:t>
            </w:r>
            <w:r w:rsidRPr="008A0787">
              <w:rPr>
                <w:rFonts w:cs="Arial"/>
                <w:bCs/>
              </w:rPr>
              <w:t>ments</w:t>
            </w:r>
          </w:p>
        </w:tc>
        <w:tc>
          <w:tcPr>
            <w:tcW w:w="1338" w:type="dxa"/>
            <w:tcBorders>
              <w:top w:val="nil"/>
              <w:left w:val="nil"/>
              <w:bottom w:val="single" w:sz="4" w:space="0" w:color="auto"/>
              <w:right w:val="single" w:sz="4" w:space="0" w:color="auto"/>
            </w:tcBorders>
            <w:shd w:val="clear" w:color="auto" w:fill="auto"/>
            <w:noWrap/>
          </w:tcPr>
          <w:p w14:paraId="3344E7B0" w14:textId="77777777" w:rsidR="00CA786F" w:rsidRPr="008A0787" w:rsidRDefault="00B51A8D" w:rsidP="0097796B">
            <w:pPr>
              <w:jc w:val="right"/>
            </w:pPr>
            <w:r w:rsidRPr="008A0787">
              <w:t>245</w:t>
            </w:r>
          </w:p>
        </w:tc>
        <w:tc>
          <w:tcPr>
            <w:tcW w:w="1307" w:type="dxa"/>
            <w:tcBorders>
              <w:top w:val="nil"/>
              <w:left w:val="nil"/>
              <w:bottom w:val="single" w:sz="4" w:space="0" w:color="auto"/>
              <w:right w:val="single" w:sz="4" w:space="0" w:color="auto"/>
            </w:tcBorders>
            <w:shd w:val="clear" w:color="auto" w:fill="auto"/>
            <w:noWrap/>
          </w:tcPr>
          <w:p w14:paraId="75792646" w14:textId="77777777" w:rsidR="00CA786F" w:rsidRPr="008A0787" w:rsidRDefault="00B51A8D" w:rsidP="00C66F38">
            <w:pPr>
              <w:jc w:val="right"/>
            </w:pPr>
            <w:r w:rsidRPr="008A0787">
              <w:t>78</w:t>
            </w:r>
          </w:p>
        </w:tc>
        <w:tc>
          <w:tcPr>
            <w:tcW w:w="1450" w:type="dxa"/>
            <w:tcBorders>
              <w:top w:val="nil"/>
              <w:left w:val="nil"/>
              <w:bottom w:val="single" w:sz="4" w:space="0" w:color="auto"/>
              <w:right w:val="single" w:sz="4" w:space="0" w:color="auto"/>
            </w:tcBorders>
            <w:shd w:val="clear" w:color="auto" w:fill="auto"/>
            <w:noWrap/>
          </w:tcPr>
          <w:p w14:paraId="43BE3561" w14:textId="77777777" w:rsidR="00CA786F" w:rsidRPr="008A0787" w:rsidRDefault="00B51A8D" w:rsidP="00C66F38">
            <w:pPr>
              <w:jc w:val="right"/>
            </w:pPr>
            <w:r w:rsidRPr="008A0787">
              <w:t>78</w:t>
            </w:r>
          </w:p>
        </w:tc>
        <w:tc>
          <w:tcPr>
            <w:tcW w:w="1450" w:type="dxa"/>
            <w:tcBorders>
              <w:top w:val="nil"/>
              <w:left w:val="nil"/>
              <w:bottom w:val="single" w:sz="4" w:space="0" w:color="auto"/>
              <w:right w:val="single" w:sz="4" w:space="0" w:color="auto"/>
            </w:tcBorders>
            <w:shd w:val="clear" w:color="auto" w:fill="auto"/>
            <w:noWrap/>
          </w:tcPr>
          <w:p w14:paraId="73129E15" w14:textId="77777777" w:rsidR="00CA786F" w:rsidRPr="008A0787" w:rsidRDefault="00B51A8D" w:rsidP="0083184E">
            <w:pPr>
              <w:jc w:val="right"/>
            </w:pPr>
            <w:r w:rsidRPr="008A0787">
              <w:t>78</w:t>
            </w:r>
          </w:p>
        </w:tc>
      </w:tr>
      <w:tr w:rsidR="0065196F" w:rsidRPr="00B54839" w14:paraId="69F21C77"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14:paraId="45798534" w14:textId="77777777" w:rsidR="0065196F" w:rsidRPr="006803DF" w:rsidRDefault="0065196F" w:rsidP="00C66F38">
            <w:pPr>
              <w:tabs>
                <w:tab w:val="left" w:pos="7938"/>
              </w:tabs>
              <w:rPr>
                <w:rFonts w:cs="Arial"/>
                <w:b/>
                <w:bCs/>
              </w:rPr>
            </w:pPr>
          </w:p>
        </w:tc>
        <w:tc>
          <w:tcPr>
            <w:tcW w:w="1338" w:type="dxa"/>
            <w:tcBorders>
              <w:top w:val="nil"/>
              <w:left w:val="nil"/>
              <w:bottom w:val="single" w:sz="4" w:space="0" w:color="auto"/>
              <w:right w:val="single" w:sz="4" w:space="0" w:color="auto"/>
            </w:tcBorders>
            <w:shd w:val="clear" w:color="auto" w:fill="auto"/>
            <w:noWrap/>
          </w:tcPr>
          <w:p w14:paraId="61F8028A" w14:textId="77777777" w:rsidR="0065196F" w:rsidRPr="006803DF" w:rsidRDefault="0065196F" w:rsidP="0097796B">
            <w:pPr>
              <w:jc w:val="right"/>
              <w:rPr>
                <w:b/>
              </w:rPr>
            </w:pPr>
          </w:p>
        </w:tc>
        <w:tc>
          <w:tcPr>
            <w:tcW w:w="1307" w:type="dxa"/>
            <w:tcBorders>
              <w:top w:val="nil"/>
              <w:left w:val="nil"/>
              <w:bottom w:val="single" w:sz="4" w:space="0" w:color="auto"/>
              <w:right w:val="single" w:sz="4" w:space="0" w:color="auto"/>
            </w:tcBorders>
            <w:shd w:val="clear" w:color="auto" w:fill="auto"/>
            <w:noWrap/>
          </w:tcPr>
          <w:p w14:paraId="0286627F" w14:textId="77777777" w:rsidR="0065196F" w:rsidRPr="006803DF" w:rsidRDefault="0065196F" w:rsidP="00C66F38">
            <w:pPr>
              <w:jc w:val="right"/>
              <w:rPr>
                <w:b/>
              </w:rPr>
            </w:pPr>
          </w:p>
        </w:tc>
        <w:tc>
          <w:tcPr>
            <w:tcW w:w="1450" w:type="dxa"/>
            <w:tcBorders>
              <w:top w:val="nil"/>
              <w:left w:val="nil"/>
              <w:bottom w:val="single" w:sz="4" w:space="0" w:color="auto"/>
              <w:right w:val="single" w:sz="4" w:space="0" w:color="auto"/>
            </w:tcBorders>
            <w:shd w:val="clear" w:color="auto" w:fill="auto"/>
            <w:noWrap/>
          </w:tcPr>
          <w:p w14:paraId="787D4700" w14:textId="77777777" w:rsidR="0065196F" w:rsidRPr="006803DF" w:rsidRDefault="0065196F" w:rsidP="00C66F38">
            <w:pPr>
              <w:jc w:val="right"/>
              <w:rPr>
                <w:b/>
              </w:rPr>
            </w:pPr>
          </w:p>
        </w:tc>
        <w:tc>
          <w:tcPr>
            <w:tcW w:w="1450" w:type="dxa"/>
            <w:tcBorders>
              <w:top w:val="nil"/>
              <w:left w:val="nil"/>
              <w:bottom w:val="single" w:sz="4" w:space="0" w:color="auto"/>
              <w:right w:val="single" w:sz="4" w:space="0" w:color="auto"/>
            </w:tcBorders>
            <w:shd w:val="clear" w:color="auto" w:fill="auto"/>
            <w:noWrap/>
          </w:tcPr>
          <w:p w14:paraId="7919B2ED" w14:textId="77777777" w:rsidR="0065196F" w:rsidRDefault="0065196F" w:rsidP="0083184E">
            <w:pPr>
              <w:jc w:val="right"/>
              <w:rPr>
                <w:b/>
              </w:rPr>
            </w:pPr>
          </w:p>
        </w:tc>
      </w:tr>
      <w:tr w:rsidR="00C66F38" w:rsidRPr="00B54839" w14:paraId="0F34BBEA"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14:paraId="083AF081" w14:textId="77777777" w:rsidR="00C66F38" w:rsidRPr="006803DF" w:rsidRDefault="00C66F38" w:rsidP="00C66F38">
            <w:pPr>
              <w:tabs>
                <w:tab w:val="left" w:pos="7938"/>
              </w:tabs>
              <w:rPr>
                <w:rFonts w:cs="Arial"/>
                <w:bCs/>
              </w:rPr>
            </w:pPr>
            <w:r w:rsidRPr="006803DF">
              <w:rPr>
                <w:rFonts w:cs="Arial"/>
                <w:b/>
                <w:bCs/>
              </w:rPr>
              <w:t>Total HRA</w:t>
            </w:r>
          </w:p>
        </w:tc>
        <w:tc>
          <w:tcPr>
            <w:tcW w:w="1338" w:type="dxa"/>
            <w:tcBorders>
              <w:top w:val="nil"/>
              <w:left w:val="nil"/>
              <w:bottom w:val="single" w:sz="4" w:space="0" w:color="auto"/>
              <w:right w:val="single" w:sz="4" w:space="0" w:color="auto"/>
            </w:tcBorders>
            <w:shd w:val="clear" w:color="auto" w:fill="auto"/>
            <w:noWrap/>
          </w:tcPr>
          <w:p w14:paraId="58292E39" w14:textId="77777777" w:rsidR="00C66F38" w:rsidRPr="006803DF" w:rsidRDefault="00C66F38" w:rsidP="00256A10">
            <w:pPr>
              <w:jc w:val="right"/>
              <w:rPr>
                <w:b/>
              </w:rPr>
            </w:pPr>
            <w:r w:rsidRPr="006803DF">
              <w:rPr>
                <w:b/>
              </w:rPr>
              <w:t>11</w:t>
            </w:r>
            <w:r w:rsidR="00256A10">
              <w:rPr>
                <w:b/>
              </w:rPr>
              <w:t>8</w:t>
            </w:r>
            <w:r w:rsidRPr="006803DF">
              <w:rPr>
                <w:b/>
              </w:rPr>
              <w:t>,</w:t>
            </w:r>
            <w:r w:rsidR="00256A10">
              <w:rPr>
                <w:b/>
              </w:rPr>
              <w:t>652</w:t>
            </w:r>
          </w:p>
        </w:tc>
        <w:tc>
          <w:tcPr>
            <w:tcW w:w="1307" w:type="dxa"/>
            <w:tcBorders>
              <w:top w:val="nil"/>
              <w:left w:val="nil"/>
              <w:bottom w:val="single" w:sz="4" w:space="0" w:color="auto"/>
              <w:right w:val="single" w:sz="4" w:space="0" w:color="auto"/>
            </w:tcBorders>
            <w:shd w:val="clear" w:color="auto" w:fill="auto"/>
            <w:noWrap/>
          </w:tcPr>
          <w:p w14:paraId="3EDF24BD" w14:textId="77777777" w:rsidR="00C66F38" w:rsidRPr="006803DF" w:rsidRDefault="001C0F35" w:rsidP="00256A10">
            <w:pPr>
              <w:jc w:val="right"/>
              <w:rPr>
                <w:b/>
              </w:rPr>
            </w:pPr>
            <w:r>
              <w:rPr>
                <w:b/>
              </w:rPr>
              <w:t>129,</w:t>
            </w:r>
            <w:r w:rsidR="00256A10">
              <w:rPr>
                <w:b/>
              </w:rPr>
              <w:t>410</w:t>
            </w:r>
          </w:p>
        </w:tc>
        <w:tc>
          <w:tcPr>
            <w:tcW w:w="1450" w:type="dxa"/>
            <w:tcBorders>
              <w:top w:val="nil"/>
              <w:left w:val="nil"/>
              <w:bottom w:val="single" w:sz="4" w:space="0" w:color="auto"/>
              <w:right w:val="single" w:sz="4" w:space="0" w:color="auto"/>
            </w:tcBorders>
            <w:shd w:val="clear" w:color="auto" w:fill="auto"/>
            <w:noWrap/>
          </w:tcPr>
          <w:p w14:paraId="11912CF2" w14:textId="77777777" w:rsidR="00C66F38" w:rsidRPr="006803DF" w:rsidRDefault="001C0F35" w:rsidP="00256A10">
            <w:pPr>
              <w:jc w:val="right"/>
              <w:rPr>
                <w:b/>
              </w:rPr>
            </w:pPr>
            <w:r>
              <w:rPr>
                <w:b/>
              </w:rPr>
              <w:t>44,0</w:t>
            </w:r>
            <w:r w:rsidR="00256A10">
              <w:rPr>
                <w:b/>
              </w:rPr>
              <w:t>62</w:t>
            </w:r>
          </w:p>
        </w:tc>
        <w:tc>
          <w:tcPr>
            <w:tcW w:w="1450" w:type="dxa"/>
            <w:tcBorders>
              <w:top w:val="nil"/>
              <w:left w:val="nil"/>
              <w:bottom w:val="single" w:sz="4" w:space="0" w:color="auto"/>
              <w:right w:val="single" w:sz="4" w:space="0" w:color="auto"/>
            </w:tcBorders>
            <w:shd w:val="clear" w:color="auto" w:fill="auto"/>
            <w:noWrap/>
          </w:tcPr>
          <w:p w14:paraId="097601EE" w14:textId="77777777" w:rsidR="00C66F38" w:rsidRPr="006803DF" w:rsidRDefault="001C0F35" w:rsidP="0083184E">
            <w:pPr>
              <w:jc w:val="right"/>
              <w:rPr>
                <w:b/>
              </w:rPr>
            </w:pPr>
            <w:r>
              <w:rPr>
                <w:b/>
              </w:rPr>
              <w:t>196,649</w:t>
            </w:r>
          </w:p>
        </w:tc>
      </w:tr>
      <w:tr w:rsidR="00C66F38" w:rsidRPr="00B54839" w14:paraId="13791624" w14:textId="77777777" w:rsidTr="00EF7FF3">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14:paraId="7519B92D" w14:textId="77777777" w:rsidR="00C66F38" w:rsidRPr="006803DF" w:rsidRDefault="00C66F38" w:rsidP="00C66F38">
            <w:pPr>
              <w:tabs>
                <w:tab w:val="left" w:pos="7938"/>
              </w:tabs>
              <w:rPr>
                <w:rFonts w:cs="Arial"/>
                <w:bCs/>
              </w:rPr>
            </w:pPr>
          </w:p>
        </w:tc>
        <w:tc>
          <w:tcPr>
            <w:tcW w:w="1338" w:type="dxa"/>
            <w:tcBorders>
              <w:top w:val="nil"/>
              <w:left w:val="nil"/>
              <w:bottom w:val="single" w:sz="4" w:space="0" w:color="auto"/>
              <w:right w:val="single" w:sz="4" w:space="0" w:color="auto"/>
            </w:tcBorders>
            <w:shd w:val="clear" w:color="auto" w:fill="auto"/>
            <w:noWrap/>
            <w:vAlign w:val="center"/>
          </w:tcPr>
          <w:p w14:paraId="76E1E3E3" w14:textId="77777777" w:rsidR="00C66F38" w:rsidRPr="006803DF" w:rsidRDefault="00C66F38" w:rsidP="00C66F38">
            <w:pPr>
              <w:tabs>
                <w:tab w:val="left" w:pos="7938"/>
              </w:tabs>
              <w:jc w:val="right"/>
              <w:rPr>
                <w:rFonts w:cs="Arial"/>
                <w:bCs/>
              </w:rPr>
            </w:pPr>
          </w:p>
        </w:tc>
        <w:tc>
          <w:tcPr>
            <w:tcW w:w="1307" w:type="dxa"/>
            <w:tcBorders>
              <w:top w:val="nil"/>
              <w:left w:val="nil"/>
              <w:bottom w:val="single" w:sz="4" w:space="0" w:color="auto"/>
              <w:right w:val="single" w:sz="4" w:space="0" w:color="auto"/>
            </w:tcBorders>
            <w:shd w:val="clear" w:color="auto" w:fill="auto"/>
            <w:noWrap/>
            <w:vAlign w:val="center"/>
          </w:tcPr>
          <w:p w14:paraId="52F07513" w14:textId="77777777" w:rsidR="00C66F38" w:rsidRPr="006803DF" w:rsidRDefault="00C66F38" w:rsidP="00C66F38">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14:paraId="6DC82C3F" w14:textId="77777777" w:rsidR="00C66F38" w:rsidRPr="006803DF" w:rsidRDefault="00C66F38" w:rsidP="00C66F38">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14:paraId="33565EA1" w14:textId="77777777" w:rsidR="00C66F38" w:rsidRPr="006803DF" w:rsidRDefault="00C66F38" w:rsidP="00C66F38">
            <w:pPr>
              <w:tabs>
                <w:tab w:val="left" w:pos="7938"/>
              </w:tabs>
              <w:jc w:val="right"/>
              <w:rPr>
                <w:rFonts w:cs="Arial"/>
                <w:bCs/>
              </w:rPr>
            </w:pPr>
          </w:p>
        </w:tc>
      </w:tr>
      <w:tr w:rsidR="00C66F38" w:rsidRPr="00B54839" w14:paraId="1185E2C2" w14:textId="77777777" w:rsidTr="00EF7FF3">
        <w:trPr>
          <w:trHeight w:val="547"/>
        </w:trPr>
        <w:tc>
          <w:tcPr>
            <w:tcW w:w="3581" w:type="dxa"/>
            <w:tcBorders>
              <w:top w:val="single" w:sz="4" w:space="0" w:color="auto"/>
              <w:left w:val="single" w:sz="4" w:space="0" w:color="auto"/>
              <w:bottom w:val="single" w:sz="4" w:space="0" w:color="auto"/>
              <w:right w:val="single" w:sz="4" w:space="0" w:color="auto"/>
            </w:tcBorders>
            <w:shd w:val="clear" w:color="000000" w:fill="D9D9D9"/>
            <w:vAlign w:val="center"/>
          </w:tcPr>
          <w:p w14:paraId="275319C7" w14:textId="77777777" w:rsidR="00C66F38" w:rsidRPr="006803DF" w:rsidRDefault="00C66F38" w:rsidP="00C66F38">
            <w:pPr>
              <w:tabs>
                <w:tab w:val="left" w:pos="7938"/>
              </w:tabs>
              <w:rPr>
                <w:rFonts w:cs="Arial"/>
                <w:bCs/>
              </w:rPr>
            </w:pPr>
            <w:r w:rsidRPr="006803DF">
              <w:rPr>
                <w:rFonts w:cs="Arial"/>
                <w:b/>
                <w:bCs/>
              </w:rPr>
              <w:t>Total Revised Programme</w:t>
            </w:r>
          </w:p>
        </w:tc>
        <w:tc>
          <w:tcPr>
            <w:tcW w:w="1338" w:type="dxa"/>
            <w:tcBorders>
              <w:top w:val="single" w:sz="4" w:space="0" w:color="auto"/>
              <w:left w:val="nil"/>
              <w:bottom w:val="single" w:sz="4" w:space="0" w:color="auto"/>
              <w:right w:val="single" w:sz="4" w:space="0" w:color="auto"/>
            </w:tcBorders>
            <w:shd w:val="clear" w:color="auto" w:fill="auto"/>
            <w:noWrap/>
          </w:tcPr>
          <w:p w14:paraId="3A10B1B3" w14:textId="77777777" w:rsidR="00C66F38" w:rsidRPr="006803DF" w:rsidRDefault="00C66F38" w:rsidP="00F61DFB">
            <w:pPr>
              <w:jc w:val="right"/>
              <w:rPr>
                <w:b/>
              </w:rPr>
            </w:pPr>
            <w:r w:rsidRPr="006803DF">
              <w:rPr>
                <w:b/>
              </w:rPr>
              <w:t>23</w:t>
            </w:r>
            <w:r w:rsidR="00256A10">
              <w:rPr>
                <w:b/>
              </w:rPr>
              <w:t>5</w:t>
            </w:r>
            <w:r w:rsidRPr="006803DF">
              <w:rPr>
                <w:b/>
              </w:rPr>
              <w:t>,</w:t>
            </w:r>
            <w:r w:rsidR="00256A10">
              <w:rPr>
                <w:b/>
              </w:rPr>
              <w:t>623</w:t>
            </w:r>
          </w:p>
          <w:p w14:paraId="2D7DE1AA" w14:textId="77777777" w:rsidR="00F61DFB" w:rsidRPr="006803DF" w:rsidRDefault="00F61DFB" w:rsidP="00F61DFB">
            <w:pPr>
              <w:jc w:val="right"/>
              <w:rPr>
                <w:b/>
              </w:rPr>
            </w:pPr>
          </w:p>
        </w:tc>
        <w:tc>
          <w:tcPr>
            <w:tcW w:w="1307" w:type="dxa"/>
            <w:tcBorders>
              <w:top w:val="single" w:sz="4" w:space="0" w:color="auto"/>
              <w:left w:val="nil"/>
              <w:bottom w:val="single" w:sz="4" w:space="0" w:color="auto"/>
              <w:right w:val="single" w:sz="4" w:space="0" w:color="auto"/>
            </w:tcBorders>
            <w:shd w:val="clear" w:color="auto" w:fill="auto"/>
            <w:noWrap/>
          </w:tcPr>
          <w:p w14:paraId="51471518" w14:textId="77777777" w:rsidR="00C66F38" w:rsidRPr="006803DF" w:rsidRDefault="00C66F38" w:rsidP="00256A10">
            <w:pPr>
              <w:jc w:val="right"/>
              <w:rPr>
                <w:b/>
              </w:rPr>
            </w:pPr>
            <w:r w:rsidRPr="006803DF">
              <w:rPr>
                <w:b/>
              </w:rPr>
              <w:t>1</w:t>
            </w:r>
            <w:r w:rsidR="008A0787">
              <w:rPr>
                <w:b/>
              </w:rPr>
              <w:t>84</w:t>
            </w:r>
            <w:r w:rsidRPr="006803DF">
              <w:rPr>
                <w:b/>
              </w:rPr>
              <w:t>,</w:t>
            </w:r>
            <w:r w:rsidR="00256A10">
              <w:rPr>
                <w:b/>
              </w:rPr>
              <w:t>420</w:t>
            </w:r>
          </w:p>
        </w:tc>
        <w:tc>
          <w:tcPr>
            <w:tcW w:w="1450" w:type="dxa"/>
            <w:tcBorders>
              <w:top w:val="single" w:sz="4" w:space="0" w:color="auto"/>
              <w:left w:val="nil"/>
              <w:bottom w:val="single" w:sz="4" w:space="0" w:color="auto"/>
              <w:right w:val="single" w:sz="4" w:space="0" w:color="auto"/>
            </w:tcBorders>
            <w:shd w:val="clear" w:color="auto" w:fill="auto"/>
            <w:noWrap/>
          </w:tcPr>
          <w:p w14:paraId="2F01077F" w14:textId="77777777" w:rsidR="00C66F38" w:rsidRPr="006803DF" w:rsidRDefault="00C66F38" w:rsidP="00256A10">
            <w:pPr>
              <w:jc w:val="right"/>
              <w:rPr>
                <w:b/>
              </w:rPr>
            </w:pPr>
            <w:r w:rsidRPr="006803DF">
              <w:rPr>
                <w:b/>
              </w:rPr>
              <w:t>12</w:t>
            </w:r>
            <w:r w:rsidR="0083184E">
              <w:rPr>
                <w:b/>
              </w:rPr>
              <w:t>5</w:t>
            </w:r>
            <w:r w:rsidRPr="006803DF">
              <w:rPr>
                <w:b/>
              </w:rPr>
              <w:t>,</w:t>
            </w:r>
            <w:r w:rsidR="0083184E">
              <w:rPr>
                <w:b/>
              </w:rPr>
              <w:t>31</w:t>
            </w:r>
            <w:r w:rsidR="00256A10">
              <w:rPr>
                <w:b/>
              </w:rPr>
              <w:t>8</w:t>
            </w:r>
          </w:p>
        </w:tc>
        <w:tc>
          <w:tcPr>
            <w:tcW w:w="1450" w:type="dxa"/>
            <w:tcBorders>
              <w:top w:val="single" w:sz="4" w:space="0" w:color="auto"/>
              <w:left w:val="nil"/>
              <w:bottom w:val="single" w:sz="4" w:space="0" w:color="auto"/>
              <w:right w:val="single" w:sz="4" w:space="0" w:color="auto"/>
            </w:tcBorders>
            <w:shd w:val="clear" w:color="auto" w:fill="auto"/>
            <w:noWrap/>
          </w:tcPr>
          <w:p w14:paraId="55895B71" w14:textId="77777777" w:rsidR="00C66F38" w:rsidRPr="006803DF" w:rsidRDefault="008A0787" w:rsidP="0083184E">
            <w:pPr>
              <w:jc w:val="right"/>
              <w:rPr>
                <w:b/>
              </w:rPr>
            </w:pPr>
            <w:r>
              <w:rPr>
                <w:b/>
              </w:rPr>
              <w:t>221,575</w:t>
            </w:r>
          </w:p>
        </w:tc>
      </w:tr>
    </w:tbl>
    <w:p w14:paraId="5858E4BF" w14:textId="77777777" w:rsidR="00852A59" w:rsidRDefault="00852A59" w:rsidP="00852A59">
      <w:pPr>
        <w:ind w:right="386"/>
        <w:jc w:val="both"/>
        <w:rPr>
          <w:b/>
          <w:bCs/>
          <w:highlight w:val="yellow"/>
        </w:rPr>
      </w:pPr>
    </w:p>
    <w:p w14:paraId="654C5D09" w14:textId="77777777" w:rsidR="00615F4F" w:rsidRPr="007A5788" w:rsidRDefault="006803DF" w:rsidP="00EF7FF3">
      <w:pPr>
        <w:pStyle w:val="ListParagraph"/>
        <w:numPr>
          <w:ilvl w:val="0"/>
          <w:numId w:val="16"/>
        </w:numPr>
        <w:ind w:left="378" w:right="386" w:hanging="378"/>
        <w:jc w:val="both"/>
        <w:rPr>
          <w:bCs/>
        </w:rPr>
      </w:pPr>
      <w:r w:rsidRPr="007A5788">
        <w:rPr>
          <w:b/>
          <w:bCs/>
        </w:rPr>
        <w:lastRenderedPageBreak/>
        <w:t xml:space="preserve">Loans to </w:t>
      </w:r>
      <w:proofErr w:type="spellStart"/>
      <w:r w:rsidRPr="007A5788">
        <w:rPr>
          <w:b/>
          <w:bCs/>
        </w:rPr>
        <w:t>Oxwed</w:t>
      </w:r>
      <w:proofErr w:type="spellEnd"/>
      <w:r w:rsidRPr="007A5788">
        <w:rPr>
          <w:b/>
          <w:bCs/>
        </w:rPr>
        <w:t xml:space="preserve"> </w:t>
      </w:r>
      <w:r w:rsidR="007A5788" w:rsidRPr="007A5788">
        <w:rPr>
          <w:b/>
          <w:bCs/>
        </w:rPr>
        <w:t xml:space="preserve">– </w:t>
      </w:r>
      <w:r w:rsidR="007A5788" w:rsidRPr="007A5788">
        <w:rPr>
          <w:bCs/>
        </w:rPr>
        <w:t xml:space="preserve">Further loans to </w:t>
      </w:r>
      <w:proofErr w:type="spellStart"/>
      <w:r w:rsidR="007A5788" w:rsidRPr="007A5788">
        <w:rPr>
          <w:bCs/>
        </w:rPr>
        <w:t>Oxwed</w:t>
      </w:r>
      <w:proofErr w:type="spellEnd"/>
      <w:r w:rsidR="007A5788" w:rsidRPr="007A5788">
        <w:rPr>
          <w:bCs/>
        </w:rPr>
        <w:t xml:space="preserve"> to cover the delivery strategy and enabling works as referred to below and in the Cabinet report of 8</w:t>
      </w:r>
      <w:r w:rsidR="007A5788" w:rsidRPr="007A5788">
        <w:rPr>
          <w:bCs/>
          <w:vertAlign w:val="superscript"/>
        </w:rPr>
        <w:t>th</w:t>
      </w:r>
      <w:r w:rsidR="007A5788" w:rsidRPr="007A5788">
        <w:rPr>
          <w:bCs/>
        </w:rPr>
        <w:t xml:space="preserve"> Februa</w:t>
      </w:r>
      <w:r w:rsidR="00833E89">
        <w:rPr>
          <w:bCs/>
        </w:rPr>
        <w:t xml:space="preserve">ry. Whilst £750k will provide cash flow for the delivery strategy the drawdown of the enabling works £3million will be the subject of a further report to Cabinet in July. </w:t>
      </w:r>
    </w:p>
    <w:p w14:paraId="3D9A0074" w14:textId="77777777" w:rsidR="006803DF" w:rsidRDefault="006803DF" w:rsidP="00EF7FF3">
      <w:pPr>
        <w:pStyle w:val="ListParagraph"/>
        <w:numPr>
          <w:ilvl w:val="0"/>
          <w:numId w:val="16"/>
        </w:numPr>
        <w:ind w:left="378" w:right="386" w:hanging="378"/>
        <w:jc w:val="both"/>
        <w:rPr>
          <w:bCs/>
        </w:rPr>
      </w:pPr>
      <w:proofErr w:type="spellStart"/>
      <w:r w:rsidRPr="007A5788">
        <w:rPr>
          <w:b/>
          <w:bCs/>
        </w:rPr>
        <w:t>Cowley</w:t>
      </w:r>
      <w:proofErr w:type="spellEnd"/>
      <w:r w:rsidRPr="007A5788">
        <w:rPr>
          <w:b/>
          <w:bCs/>
        </w:rPr>
        <w:t xml:space="preserve"> Branch Line</w:t>
      </w:r>
      <w:r w:rsidR="006832CA" w:rsidRPr="007A5788">
        <w:rPr>
          <w:b/>
          <w:bCs/>
        </w:rPr>
        <w:t xml:space="preserve">- </w:t>
      </w:r>
      <w:r w:rsidR="006832CA" w:rsidRPr="007A5788">
        <w:rPr>
          <w:bCs/>
        </w:rPr>
        <w:t>On 14</w:t>
      </w:r>
      <w:r w:rsidR="006832CA" w:rsidRPr="007A5788">
        <w:rPr>
          <w:bCs/>
          <w:vertAlign w:val="superscript"/>
        </w:rPr>
        <w:t>th</w:t>
      </w:r>
      <w:r w:rsidR="006832CA" w:rsidRPr="007A5788">
        <w:rPr>
          <w:bCs/>
        </w:rPr>
        <w:t xml:space="preserve"> D</w:t>
      </w:r>
      <w:r w:rsidR="00227540" w:rsidRPr="007A5788">
        <w:rPr>
          <w:bCs/>
        </w:rPr>
        <w:t>ec</w:t>
      </w:r>
      <w:r w:rsidR="006832CA" w:rsidRPr="007A5788">
        <w:rPr>
          <w:bCs/>
        </w:rPr>
        <w:t>ember</w:t>
      </w:r>
      <w:r w:rsidR="00227540" w:rsidRPr="007A5788">
        <w:rPr>
          <w:bCs/>
        </w:rPr>
        <w:t xml:space="preserve"> </w:t>
      </w:r>
      <w:r w:rsidR="00591C00" w:rsidRPr="007A5788">
        <w:rPr>
          <w:bCs/>
        </w:rPr>
        <w:t xml:space="preserve">Cabinet resolved to recommend to Council the </w:t>
      </w:r>
      <w:r w:rsidR="00227540" w:rsidRPr="007A5788">
        <w:rPr>
          <w:bCs/>
        </w:rPr>
        <w:t>approv</w:t>
      </w:r>
      <w:r w:rsidR="00591C00" w:rsidRPr="007A5788">
        <w:rPr>
          <w:bCs/>
        </w:rPr>
        <w:t>al</w:t>
      </w:r>
      <w:r w:rsidR="00227540" w:rsidRPr="007A5788">
        <w:rPr>
          <w:bCs/>
        </w:rPr>
        <w:t xml:space="preserve"> </w:t>
      </w:r>
      <w:r w:rsidR="00591C00" w:rsidRPr="007A5788">
        <w:rPr>
          <w:bCs/>
        </w:rPr>
        <w:t>of a capital budget if £</w:t>
      </w:r>
      <w:r w:rsidR="00227540" w:rsidRPr="007A5788">
        <w:rPr>
          <w:bCs/>
        </w:rPr>
        <w:t xml:space="preserve">4.56 million funded by £3.5million </w:t>
      </w:r>
      <w:r w:rsidR="00591C00" w:rsidRPr="007A5788">
        <w:rPr>
          <w:bCs/>
        </w:rPr>
        <w:t>forward C</w:t>
      </w:r>
      <w:r w:rsidR="00227540" w:rsidRPr="007A5788">
        <w:rPr>
          <w:bCs/>
        </w:rPr>
        <w:t xml:space="preserve">IL </w:t>
      </w:r>
      <w:r w:rsidR="00591C00" w:rsidRPr="007A5788">
        <w:rPr>
          <w:bCs/>
        </w:rPr>
        <w:t>payments from partners together with £771k from landowners and the County Council</w:t>
      </w:r>
      <w:r w:rsidR="007A5788" w:rsidRPr="007A5788">
        <w:rPr>
          <w:bCs/>
        </w:rPr>
        <w:t xml:space="preserve"> with the balance of £286k to be funded from the City Council</w:t>
      </w:r>
    </w:p>
    <w:p w14:paraId="58104857" w14:textId="77777777" w:rsidR="008C2D45" w:rsidRPr="007A5788" w:rsidRDefault="008C2D45" w:rsidP="00EF7FF3">
      <w:pPr>
        <w:pStyle w:val="ListParagraph"/>
        <w:numPr>
          <w:ilvl w:val="0"/>
          <w:numId w:val="16"/>
        </w:numPr>
        <w:ind w:left="378" w:right="386" w:hanging="378"/>
        <w:jc w:val="both"/>
        <w:rPr>
          <w:bCs/>
        </w:rPr>
      </w:pPr>
      <w:r>
        <w:rPr>
          <w:b/>
          <w:bCs/>
        </w:rPr>
        <w:t>Climate Change works –</w:t>
      </w:r>
      <w:r>
        <w:rPr>
          <w:bCs/>
        </w:rPr>
        <w:t xml:space="preserve"> Additional £4million to support the councils </w:t>
      </w:r>
      <w:r w:rsidR="00C90293">
        <w:rPr>
          <w:bCs/>
        </w:rPr>
        <w:t>social housing decarbonisation programme</w:t>
      </w:r>
    </w:p>
    <w:p w14:paraId="03B42885" w14:textId="77777777" w:rsidR="007A5788" w:rsidRDefault="007A5788" w:rsidP="00EF7FF3">
      <w:pPr>
        <w:pStyle w:val="ListParagraph"/>
        <w:numPr>
          <w:ilvl w:val="0"/>
          <w:numId w:val="16"/>
        </w:numPr>
        <w:ind w:left="378" w:right="386" w:hanging="378"/>
        <w:jc w:val="both"/>
        <w:rPr>
          <w:bCs/>
        </w:rPr>
      </w:pPr>
      <w:r w:rsidRPr="007A5788">
        <w:rPr>
          <w:b/>
          <w:bCs/>
        </w:rPr>
        <w:t xml:space="preserve">Re-profiling of social housing purchases from </w:t>
      </w:r>
      <w:proofErr w:type="spellStart"/>
      <w:r w:rsidRPr="007A5788">
        <w:rPr>
          <w:b/>
          <w:bCs/>
        </w:rPr>
        <w:t>OXPlace</w:t>
      </w:r>
      <w:proofErr w:type="spellEnd"/>
      <w:r w:rsidRPr="007A5788">
        <w:rPr>
          <w:b/>
          <w:bCs/>
        </w:rPr>
        <w:t xml:space="preserve"> – </w:t>
      </w:r>
      <w:r w:rsidRPr="007A5788">
        <w:rPr>
          <w:bCs/>
        </w:rPr>
        <w:t xml:space="preserve">The changes take account of slippages in development of housing by </w:t>
      </w:r>
      <w:proofErr w:type="spellStart"/>
      <w:r w:rsidRPr="007A5788">
        <w:rPr>
          <w:bCs/>
        </w:rPr>
        <w:t>OXPlace</w:t>
      </w:r>
      <w:proofErr w:type="spellEnd"/>
      <w:r w:rsidRPr="007A5788">
        <w:rPr>
          <w:bCs/>
        </w:rPr>
        <w:t xml:space="preserve"> and the subsequent purchases by the council.</w:t>
      </w:r>
    </w:p>
    <w:p w14:paraId="318333E9" w14:textId="77777777" w:rsidR="00206132" w:rsidRPr="003A73BC" w:rsidRDefault="00206132" w:rsidP="00EF7FF3">
      <w:pPr>
        <w:pStyle w:val="ListParagraph"/>
        <w:numPr>
          <w:ilvl w:val="0"/>
          <w:numId w:val="16"/>
        </w:numPr>
        <w:ind w:left="378" w:right="386" w:hanging="378"/>
        <w:jc w:val="both"/>
        <w:rPr>
          <w:bCs/>
        </w:rPr>
      </w:pPr>
      <w:proofErr w:type="spellStart"/>
      <w:r w:rsidRPr="003A73BC">
        <w:rPr>
          <w:b/>
          <w:bCs/>
        </w:rPr>
        <w:t>Roken</w:t>
      </w:r>
      <w:proofErr w:type="spellEnd"/>
      <w:r w:rsidRPr="003A73BC">
        <w:rPr>
          <w:b/>
          <w:bCs/>
        </w:rPr>
        <w:t xml:space="preserve"> House</w:t>
      </w:r>
      <w:r w:rsidR="00C90293" w:rsidRPr="00D44EAB">
        <w:rPr>
          <w:b/>
          <w:bCs/>
        </w:rPr>
        <w:t xml:space="preserve"> -</w:t>
      </w:r>
      <w:r w:rsidR="00C90293" w:rsidRPr="00234000">
        <w:rPr>
          <w:color w:val="1F497D"/>
        </w:rPr>
        <w:t xml:space="preserve"> </w:t>
      </w:r>
      <w:r w:rsidR="00C90293" w:rsidRPr="00234000">
        <w:rPr>
          <w:color w:val="auto"/>
        </w:rPr>
        <w:t xml:space="preserve">An increase of £200k for the </w:t>
      </w:r>
      <w:proofErr w:type="spellStart"/>
      <w:r w:rsidR="00C90293" w:rsidRPr="00234000">
        <w:rPr>
          <w:color w:val="auto"/>
        </w:rPr>
        <w:t>Roken</w:t>
      </w:r>
      <w:proofErr w:type="spellEnd"/>
      <w:r w:rsidR="00C90293" w:rsidRPr="00234000">
        <w:rPr>
          <w:color w:val="auto"/>
        </w:rPr>
        <w:t xml:space="preserve"> House sheltered housing scheme is proposed in the General Fund capital programme. This is to manage construction costs inflation, and to deliver sustainability improvements to the scheme, including replacing the gas boilers with Air-Source Heat Pumps (ASHPs), moving the building to all electric.  This would improve the running costs of the building; improve fire safety; reduce carbon emissions; and future-proof the development, so that it would not need to be decanted and have a gas boiler alternative fitted at a later date. The drawdown of these funds will be subject to a separate officer decision in line with the Council’s scheme of delegation. This will set out the business case and viability for the project against the Council’s agreed parameters. </w:t>
      </w:r>
    </w:p>
    <w:p w14:paraId="116B30F6" w14:textId="20D6EF13" w:rsidR="00206132" w:rsidRPr="003A73BC" w:rsidRDefault="00206132" w:rsidP="00EF7FF3">
      <w:pPr>
        <w:pStyle w:val="ListParagraph"/>
        <w:numPr>
          <w:ilvl w:val="0"/>
          <w:numId w:val="16"/>
        </w:numPr>
        <w:ind w:left="378" w:right="386" w:hanging="378"/>
        <w:jc w:val="both"/>
        <w:rPr>
          <w:bCs/>
        </w:rPr>
      </w:pPr>
      <w:r w:rsidRPr="003A73BC">
        <w:rPr>
          <w:b/>
          <w:bCs/>
        </w:rPr>
        <w:lastRenderedPageBreak/>
        <w:t>Northfield House</w:t>
      </w:r>
      <w:r w:rsidR="008C2D45" w:rsidRPr="00D44EAB">
        <w:rPr>
          <w:b/>
          <w:bCs/>
        </w:rPr>
        <w:t xml:space="preserve"> -</w:t>
      </w:r>
      <w:r w:rsidR="008C2D45" w:rsidRPr="00234000">
        <w:t xml:space="preserve"> An increase of £3.25m is proposed in the HRA capital programme for the Northfield House housing development scheme, principally due to constr</w:t>
      </w:r>
      <w:r w:rsidR="00EE67A8">
        <w:t>uction cost inflation. The draw</w:t>
      </w:r>
      <w:r w:rsidR="008C2D45" w:rsidRPr="00234000">
        <w:t>down of these funds will be subject to a separate Cabinet decision,</w:t>
      </w:r>
      <w:r w:rsidR="00EE67A8">
        <w:t xml:space="preserve"> most likely at the March 2023 C</w:t>
      </w:r>
      <w:r w:rsidR="008C2D45" w:rsidRPr="00234000">
        <w:t>abinet, where the business case will demonstrate that an increase up to this amount passes the Council’s agreed viability tests. Work is due to start imminently with the preferred contractor to value engineer their current proposal via a Pre Contract Services Agreement (PCSA) to inform the final decision on how we proceed with this project. It is also worth noting that the forthcoming cabinet paper will include recommendations for the re-programming of the wider HRA direct housing delivery programme, which should significantly reduce the overall increase required to the HRA capital programme to deliver Northfield House.</w:t>
      </w:r>
    </w:p>
    <w:p w14:paraId="58421380" w14:textId="77777777" w:rsidR="00052AE4" w:rsidRPr="006803DF" w:rsidRDefault="00052AE4" w:rsidP="00575121">
      <w:pPr>
        <w:pStyle w:val="Heading1"/>
      </w:pPr>
      <w:r w:rsidRPr="006803DF">
        <w:t>Funding of the Capital Programme</w:t>
      </w:r>
    </w:p>
    <w:p w14:paraId="79F2EFEF" w14:textId="1B55034C" w:rsidR="00AA3A6B" w:rsidRDefault="00AA3A6B" w:rsidP="00904851">
      <w:pPr>
        <w:pStyle w:val="bParagraphtext"/>
        <w:numPr>
          <w:ilvl w:val="0"/>
          <w:numId w:val="41"/>
        </w:numPr>
        <w:tabs>
          <w:tab w:val="clear" w:pos="426"/>
          <w:tab w:val="left" w:pos="0"/>
        </w:tabs>
        <w:ind w:left="426" w:hanging="426"/>
      </w:pPr>
      <w:r w:rsidRPr="006803DF">
        <w:t xml:space="preserve">The funding of the Capital Programme is shown in Table </w:t>
      </w:r>
      <w:r w:rsidR="0003318D">
        <w:t>7</w:t>
      </w:r>
      <w:r w:rsidR="00166E33" w:rsidRPr="006803DF">
        <w:t xml:space="preserve"> </w:t>
      </w:r>
      <w:r w:rsidRPr="006803DF">
        <w:t>below</w:t>
      </w:r>
      <w:r w:rsidR="00EF7FF3">
        <w:t>.</w:t>
      </w:r>
    </w:p>
    <w:p w14:paraId="77EBAD3D" w14:textId="276C343B" w:rsidR="00EF7FF3" w:rsidRDefault="00EF7FF3">
      <w:pPr>
        <w:spacing w:after="0"/>
        <w:rPr>
          <w:b/>
          <w:bCs/>
          <w:sz w:val="20"/>
          <w:szCs w:val="20"/>
        </w:rPr>
      </w:pPr>
      <w:r>
        <w:br w:type="page"/>
      </w:r>
    </w:p>
    <w:p w14:paraId="7D1C890E" w14:textId="77777777" w:rsidR="007205A1" w:rsidRPr="006803DF" w:rsidRDefault="007205A1" w:rsidP="00575121">
      <w:pPr>
        <w:pStyle w:val="Caption"/>
      </w:pPr>
    </w:p>
    <w:tbl>
      <w:tblPr>
        <w:tblW w:w="8484" w:type="dxa"/>
        <w:tblInd w:w="268" w:type="dxa"/>
        <w:tblLook w:val="04A0" w:firstRow="1" w:lastRow="0" w:firstColumn="1" w:lastColumn="0" w:noHBand="0" w:noVBand="1"/>
      </w:tblPr>
      <w:tblGrid>
        <w:gridCol w:w="3358"/>
        <w:gridCol w:w="1215"/>
        <w:gridCol w:w="1215"/>
        <w:gridCol w:w="1348"/>
        <w:gridCol w:w="1348"/>
      </w:tblGrid>
      <w:tr w:rsidR="00013557" w:rsidRPr="006803DF" w14:paraId="760521BC" w14:textId="77777777" w:rsidTr="00013557">
        <w:trPr>
          <w:trHeight w:val="300"/>
        </w:trPr>
        <w:tc>
          <w:tcPr>
            <w:tcW w:w="84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620276" w14:textId="77777777" w:rsidR="00013557" w:rsidRPr="006803DF" w:rsidRDefault="006F631B" w:rsidP="00DB4566">
            <w:pPr>
              <w:jc w:val="center"/>
              <w:rPr>
                <w:rFonts w:cs="Arial"/>
                <w:b/>
                <w:bCs/>
              </w:rPr>
            </w:pPr>
            <w:r w:rsidRPr="006803DF">
              <w:rPr>
                <w:rFonts w:cs="Arial"/>
                <w:b/>
                <w:bCs/>
              </w:rPr>
              <w:t xml:space="preserve">Table </w:t>
            </w:r>
            <w:r w:rsidR="00DB4566" w:rsidRPr="006803DF">
              <w:rPr>
                <w:rFonts w:cs="Arial"/>
                <w:b/>
                <w:bCs/>
              </w:rPr>
              <w:t>7</w:t>
            </w:r>
            <w:r w:rsidR="00013557" w:rsidRPr="006803DF">
              <w:rPr>
                <w:rFonts w:cs="Arial"/>
                <w:b/>
                <w:bCs/>
              </w:rPr>
              <w:t xml:space="preserve"> Capital Programme Financing 202</w:t>
            </w:r>
            <w:r w:rsidR="00DB4566" w:rsidRPr="006803DF">
              <w:rPr>
                <w:rFonts w:cs="Arial"/>
                <w:b/>
                <w:bCs/>
              </w:rPr>
              <w:t>3</w:t>
            </w:r>
            <w:r w:rsidR="00013557" w:rsidRPr="006803DF">
              <w:rPr>
                <w:rFonts w:cs="Arial"/>
                <w:b/>
                <w:bCs/>
              </w:rPr>
              <w:t>/2</w:t>
            </w:r>
            <w:r w:rsidR="00DB4566" w:rsidRPr="006803DF">
              <w:rPr>
                <w:rFonts w:cs="Arial"/>
                <w:b/>
                <w:bCs/>
              </w:rPr>
              <w:t>4</w:t>
            </w:r>
            <w:r w:rsidR="00013557" w:rsidRPr="006803DF">
              <w:rPr>
                <w:rFonts w:cs="Arial"/>
                <w:b/>
                <w:bCs/>
              </w:rPr>
              <w:t xml:space="preserve"> to 202</w:t>
            </w:r>
            <w:r w:rsidR="00DB4566" w:rsidRPr="006803DF">
              <w:rPr>
                <w:rFonts w:cs="Arial"/>
                <w:b/>
                <w:bCs/>
              </w:rPr>
              <w:t>6</w:t>
            </w:r>
            <w:r w:rsidR="00013557" w:rsidRPr="006803DF">
              <w:rPr>
                <w:rFonts w:cs="Arial"/>
                <w:b/>
                <w:bCs/>
              </w:rPr>
              <w:t>/2</w:t>
            </w:r>
            <w:r w:rsidR="00DB4566" w:rsidRPr="006803DF">
              <w:rPr>
                <w:rFonts w:cs="Arial"/>
                <w:b/>
                <w:bCs/>
              </w:rPr>
              <w:t>7</w:t>
            </w:r>
          </w:p>
        </w:tc>
      </w:tr>
      <w:tr w:rsidR="00DB4566" w:rsidRPr="006803DF" w14:paraId="120E46F9" w14:textId="77777777" w:rsidTr="00F50E98">
        <w:trPr>
          <w:trHeight w:val="772"/>
        </w:trPr>
        <w:tc>
          <w:tcPr>
            <w:tcW w:w="33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C2454" w14:textId="77777777" w:rsidR="00DB4566" w:rsidRPr="006803DF" w:rsidRDefault="00DB4566" w:rsidP="00DB4566">
            <w:pPr>
              <w:rPr>
                <w:rFonts w:cs="Arial"/>
                <w:b/>
              </w:rPr>
            </w:pPr>
          </w:p>
        </w:tc>
        <w:tc>
          <w:tcPr>
            <w:tcW w:w="1215" w:type="dxa"/>
            <w:tcBorders>
              <w:top w:val="single" w:sz="4" w:space="0" w:color="auto"/>
              <w:left w:val="nil"/>
              <w:bottom w:val="single" w:sz="4" w:space="0" w:color="auto"/>
              <w:right w:val="single" w:sz="4" w:space="0" w:color="auto"/>
            </w:tcBorders>
            <w:shd w:val="clear" w:color="000000" w:fill="D9D9D9"/>
            <w:noWrap/>
            <w:vAlign w:val="center"/>
            <w:hideMark/>
          </w:tcPr>
          <w:p w14:paraId="273A8E3F" w14:textId="77777777" w:rsidR="00DB4566" w:rsidRPr="006803DF" w:rsidRDefault="00DB4566" w:rsidP="00DB4566">
            <w:pPr>
              <w:tabs>
                <w:tab w:val="left" w:pos="1202"/>
              </w:tabs>
              <w:ind w:right="78"/>
              <w:jc w:val="right"/>
              <w:rPr>
                <w:rFonts w:cs="Arial"/>
                <w:b/>
              </w:rPr>
            </w:pPr>
            <w:r w:rsidRPr="006803DF">
              <w:rPr>
                <w:rFonts w:cs="Arial"/>
                <w:b/>
              </w:rPr>
              <w:t>2023/24</w:t>
            </w:r>
          </w:p>
          <w:p w14:paraId="0C6FD7AA" w14:textId="77777777" w:rsidR="00DB4566" w:rsidRPr="006803DF" w:rsidRDefault="00DB4566" w:rsidP="00DB4566">
            <w:pPr>
              <w:tabs>
                <w:tab w:val="left" w:pos="910"/>
              </w:tabs>
              <w:ind w:right="89"/>
              <w:jc w:val="right"/>
              <w:rPr>
                <w:rFonts w:cs="Arial"/>
                <w:b/>
              </w:rPr>
            </w:pPr>
            <w:r w:rsidRPr="006803DF">
              <w:rPr>
                <w:rFonts w:cs="Arial"/>
                <w:b/>
                <w:bCs/>
              </w:rPr>
              <w:t>£000's</w:t>
            </w:r>
          </w:p>
        </w:tc>
        <w:tc>
          <w:tcPr>
            <w:tcW w:w="1215" w:type="dxa"/>
            <w:tcBorders>
              <w:top w:val="single" w:sz="4" w:space="0" w:color="auto"/>
              <w:left w:val="nil"/>
              <w:bottom w:val="single" w:sz="4" w:space="0" w:color="auto"/>
              <w:right w:val="single" w:sz="4" w:space="0" w:color="auto"/>
            </w:tcBorders>
            <w:shd w:val="clear" w:color="000000" w:fill="D9D9D9"/>
            <w:noWrap/>
            <w:vAlign w:val="center"/>
            <w:hideMark/>
          </w:tcPr>
          <w:p w14:paraId="39B140E4" w14:textId="77777777" w:rsidR="00DB4566" w:rsidRPr="006803DF" w:rsidRDefault="00DB4566" w:rsidP="00DB4566">
            <w:pPr>
              <w:ind w:right="78"/>
              <w:jc w:val="right"/>
              <w:rPr>
                <w:rFonts w:cs="Arial"/>
                <w:b/>
              </w:rPr>
            </w:pPr>
            <w:r w:rsidRPr="006803DF">
              <w:rPr>
                <w:rFonts w:cs="Arial"/>
                <w:b/>
              </w:rPr>
              <w:t>2024/25</w:t>
            </w:r>
          </w:p>
          <w:p w14:paraId="60134424" w14:textId="77777777" w:rsidR="00DB4566" w:rsidRPr="006803DF" w:rsidRDefault="00DB4566" w:rsidP="00DB4566">
            <w:pPr>
              <w:ind w:right="28"/>
              <w:jc w:val="right"/>
              <w:rPr>
                <w:rFonts w:cs="Arial"/>
                <w:b/>
              </w:rPr>
            </w:pPr>
            <w:r w:rsidRPr="006803DF">
              <w:rPr>
                <w:rFonts w:cs="Arial"/>
                <w:b/>
                <w:bCs/>
              </w:rPr>
              <w:t>£000's</w:t>
            </w:r>
          </w:p>
        </w:tc>
        <w:tc>
          <w:tcPr>
            <w:tcW w:w="1348" w:type="dxa"/>
            <w:tcBorders>
              <w:top w:val="single" w:sz="4" w:space="0" w:color="auto"/>
              <w:left w:val="nil"/>
              <w:bottom w:val="single" w:sz="4" w:space="0" w:color="auto"/>
              <w:right w:val="single" w:sz="4" w:space="0" w:color="auto"/>
            </w:tcBorders>
            <w:shd w:val="clear" w:color="000000" w:fill="D9D9D9"/>
            <w:noWrap/>
            <w:vAlign w:val="center"/>
            <w:hideMark/>
          </w:tcPr>
          <w:p w14:paraId="5E2A06B2" w14:textId="77777777" w:rsidR="00DB4566" w:rsidRPr="006803DF" w:rsidRDefault="00DB4566" w:rsidP="00DB4566">
            <w:pPr>
              <w:ind w:right="78"/>
              <w:jc w:val="right"/>
              <w:rPr>
                <w:rFonts w:cs="Arial"/>
                <w:b/>
              </w:rPr>
            </w:pPr>
            <w:r w:rsidRPr="006803DF">
              <w:rPr>
                <w:rFonts w:cs="Arial"/>
                <w:b/>
              </w:rPr>
              <w:t>2025/26</w:t>
            </w:r>
          </w:p>
          <w:p w14:paraId="0D4FD0E8" w14:textId="77777777" w:rsidR="00DB4566" w:rsidRPr="006803DF" w:rsidRDefault="00DB4566" w:rsidP="00DB4566">
            <w:pPr>
              <w:ind w:right="100"/>
              <w:jc w:val="right"/>
              <w:rPr>
                <w:rFonts w:cs="Arial"/>
                <w:b/>
              </w:rPr>
            </w:pPr>
            <w:r w:rsidRPr="006803DF">
              <w:rPr>
                <w:rFonts w:cs="Arial"/>
                <w:b/>
                <w:bCs/>
              </w:rPr>
              <w:t>£000's</w:t>
            </w:r>
          </w:p>
        </w:tc>
        <w:tc>
          <w:tcPr>
            <w:tcW w:w="1348" w:type="dxa"/>
            <w:tcBorders>
              <w:top w:val="single" w:sz="4" w:space="0" w:color="auto"/>
              <w:left w:val="nil"/>
              <w:bottom w:val="single" w:sz="4" w:space="0" w:color="auto"/>
              <w:right w:val="single" w:sz="4" w:space="0" w:color="auto"/>
            </w:tcBorders>
            <w:shd w:val="clear" w:color="000000" w:fill="D9D9D9"/>
            <w:noWrap/>
            <w:vAlign w:val="center"/>
            <w:hideMark/>
          </w:tcPr>
          <w:p w14:paraId="4A0DF985" w14:textId="77777777" w:rsidR="00DB4566" w:rsidRPr="006803DF" w:rsidRDefault="00DB4566" w:rsidP="00DB4566">
            <w:pPr>
              <w:ind w:right="78"/>
              <w:jc w:val="right"/>
              <w:rPr>
                <w:rFonts w:cs="Arial"/>
                <w:b/>
              </w:rPr>
            </w:pPr>
            <w:r w:rsidRPr="006803DF">
              <w:rPr>
                <w:rFonts w:cs="Arial"/>
                <w:b/>
              </w:rPr>
              <w:t>2026/27</w:t>
            </w:r>
          </w:p>
          <w:p w14:paraId="152A47B9" w14:textId="77777777" w:rsidR="00DB4566" w:rsidRPr="006803DF" w:rsidRDefault="00DB4566" w:rsidP="00DB4566">
            <w:pPr>
              <w:ind w:right="31"/>
              <w:jc w:val="right"/>
              <w:rPr>
                <w:rFonts w:cs="Arial"/>
                <w:b/>
              </w:rPr>
            </w:pPr>
            <w:r w:rsidRPr="006803DF">
              <w:rPr>
                <w:rFonts w:cs="Arial"/>
                <w:b/>
                <w:bCs/>
              </w:rPr>
              <w:t>£000's</w:t>
            </w:r>
          </w:p>
        </w:tc>
      </w:tr>
      <w:tr w:rsidR="00DB4566" w:rsidRPr="006803DF" w14:paraId="72E8C7D8" w14:textId="77777777" w:rsidTr="00013557">
        <w:trPr>
          <w:trHeight w:val="300"/>
        </w:trPr>
        <w:tc>
          <w:tcPr>
            <w:tcW w:w="33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C56BDD" w14:textId="77777777" w:rsidR="00DB4566" w:rsidRPr="006803DF" w:rsidRDefault="00DB4566" w:rsidP="00DB4566">
            <w:pPr>
              <w:rPr>
                <w:rFonts w:cs="Arial"/>
                <w:b/>
                <w:bCs/>
              </w:rPr>
            </w:pPr>
            <w:r w:rsidRPr="006803DF">
              <w:rPr>
                <w:rFonts w:cs="Arial"/>
                <w:b/>
                <w:bCs/>
              </w:rPr>
              <w:t>GENERAL FUND</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58C7D9F8" w14:textId="77777777" w:rsidR="00DB4566" w:rsidRPr="006803DF" w:rsidRDefault="00DB4566" w:rsidP="00DB4566">
            <w:pPr>
              <w:jc w:val="right"/>
              <w:rPr>
                <w:rFonts w:cs="Arial"/>
                <w:b/>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0601F363" w14:textId="77777777" w:rsidR="00DB4566" w:rsidRPr="006803DF" w:rsidRDefault="00DB4566" w:rsidP="00DB4566">
            <w:pPr>
              <w:jc w:val="right"/>
              <w:rPr>
                <w:rFonts w:cs="Arial"/>
                <w:b/>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13E2CCD9" w14:textId="77777777" w:rsidR="00DB4566" w:rsidRPr="006803DF" w:rsidRDefault="00DB4566" w:rsidP="00DB4566">
            <w:pPr>
              <w:jc w:val="right"/>
              <w:rPr>
                <w:rFonts w:cs="Arial"/>
                <w:b/>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7ED956ED" w14:textId="77777777" w:rsidR="00DB4566" w:rsidRPr="006803DF" w:rsidRDefault="00DB4566" w:rsidP="00DB4566">
            <w:pPr>
              <w:jc w:val="right"/>
              <w:rPr>
                <w:rFonts w:cs="Arial"/>
                <w:b/>
              </w:rPr>
            </w:pPr>
          </w:p>
        </w:tc>
      </w:tr>
      <w:tr w:rsidR="00DB4566" w:rsidRPr="006803DF" w14:paraId="33743779" w14:textId="77777777"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14:paraId="67478C26" w14:textId="77777777" w:rsidR="00DB4566" w:rsidRPr="006803DF" w:rsidRDefault="00DB4566" w:rsidP="00DB4566">
            <w:pPr>
              <w:rPr>
                <w:rFonts w:cs="Arial"/>
                <w:bCs/>
              </w:rPr>
            </w:pPr>
            <w:r w:rsidRPr="006803DF">
              <w:rPr>
                <w:rFonts w:cs="Arial"/>
                <w:bCs/>
              </w:rPr>
              <w:t>Capital Receipts</w:t>
            </w:r>
          </w:p>
        </w:tc>
        <w:tc>
          <w:tcPr>
            <w:tcW w:w="1215" w:type="dxa"/>
            <w:tcBorders>
              <w:top w:val="nil"/>
              <w:left w:val="nil"/>
              <w:bottom w:val="single" w:sz="4" w:space="0" w:color="auto"/>
              <w:right w:val="single" w:sz="4" w:space="0" w:color="auto"/>
            </w:tcBorders>
            <w:shd w:val="clear" w:color="auto" w:fill="auto"/>
            <w:noWrap/>
          </w:tcPr>
          <w:p w14:paraId="3ED87030" w14:textId="77777777" w:rsidR="00DB4566" w:rsidRPr="006803DF" w:rsidRDefault="00F61DFB" w:rsidP="0065196F">
            <w:pPr>
              <w:jc w:val="right"/>
            </w:pPr>
            <w:r w:rsidRPr="006803DF">
              <w:t>1</w:t>
            </w:r>
            <w:r w:rsidR="0065196F">
              <w:t>5</w:t>
            </w:r>
            <w:r w:rsidRPr="006803DF">
              <w:t>,</w:t>
            </w:r>
            <w:r w:rsidR="0098677E">
              <w:t>046</w:t>
            </w:r>
          </w:p>
        </w:tc>
        <w:tc>
          <w:tcPr>
            <w:tcW w:w="1215" w:type="dxa"/>
            <w:tcBorders>
              <w:top w:val="nil"/>
              <w:left w:val="nil"/>
              <w:bottom w:val="single" w:sz="4" w:space="0" w:color="auto"/>
              <w:right w:val="single" w:sz="4" w:space="0" w:color="auto"/>
            </w:tcBorders>
            <w:shd w:val="clear" w:color="auto" w:fill="auto"/>
            <w:noWrap/>
          </w:tcPr>
          <w:p w14:paraId="1054A7E0" w14:textId="77777777" w:rsidR="00DB4566" w:rsidRPr="006803DF" w:rsidRDefault="00F61DFB" w:rsidP="0065196F">
            <w:pPr>
              <w:jc w:val="right"/>
            </w:pPr>
            <w:r w:rsidRPr="006803DF">
              <w:t>1</w:t>
            </w:r>
            <w:r w:rsidR="0083184E">
              <w:t>4</w:t>
            </w:r>
            <w:r w:rsidR="00497A04" w:rsidRPr="006803DF">
              <w:t>,</w:t>
            </w:r>
            <w:r w:rsidR="0065196F">
              <w:t>281</w:t>
            </w:r>
          </w:p>
        </w:tc>
        <w:tc>
          <w:tcPr>
            <w:tcW w:w="1348" w:type="dxa"/>
            <w:tcBorders>
              <w:top w:val="nil"/>
              <w:left w:val="nil"/>
              <w:bottom w:val="single" w:sz="4" w:space="0" w:color="auto"/>
              <w:right w:val="single" w:sz="4" w:space="0" w:color="auto"/>
            </w:tcBorders>
            <w:shd w:val="clear" w:color="auto" w:fill="auto"/>
            <w:noWrap/>
          </w:tcPr>
          <w:p w14:paraId="1AB8E5F6" w14:textId="77777777" w:rsidR="00DB4566" w:rsidRPr="006803DF" w:rsidRDefault="00497A04" w:rsidP="0065196F">
            <w:pPr>
              <w:jc w:val="right"/>
            </w:pPr>
            <w:r w:rsidRPr="006803DF">
              <w:t>1</w:t>
            </w:r>
            <w:r w:rsidR="0065196F">
              <w:t>8</w:t>
            </w:r>
            <w:r w:rsidRPr="006803DF">
              <w:t>,</w:t>
            </w:r>
            <w:r w:rsidR="0065196F">
              <w:t>446</w:t>
            </w:r>
          </w:p>
        </w:tc>
        <w:tc>
          <w:tcPr>
            <w:tcW w:w="1348" w:type="dxa"/>
            <w:tcBorders>
              <w:top w:val="nil"/>
              <w:left w:val="nil"/>
              <w:bottom w:val="single" w:sz="4" w:space="0" w:color="auto"/>
              <w:right w:val="single" w:sz="4" w:space="0" w:color="auto"/>
            </w:tcBorders>
            <w:shd w:val="clear" w:color="auto" w:fill="auto"/>
            <w:noWrap/>
          </w:tcPr>
          <w:p w14:paraId="425AE0F0" w14:textId="77777777" w:rsidR="00DB4566" w:rsidRPr="006803DF" w:rsidRDefault="00497A04" w:rsidP="00DB4566">
            <w:pPr>
              <w:jc w:val="right"/>
            </w:pPr>
            <w:r w:rsidRPr="006803DF">
              <w:t>13,592</w:t>
            </w:r>
          </w:p>
        </w:tc>
      </w:tr>
      <w:tr w:rsidR="00DB4566" w:rsidRPr="006803DF" w14:paraId="7F9FEF14" w14:textId="77777777" w:rsidTr="0017448C">
        <w:trPr>
          <w:trHeight w:val="275"/>
        </w:trPr>
        <w:tc>
          <w:tcPr>
            <w:tcW w:w="3358" w:type="dxa"/>
            <w:tcBorders>
              <w:top w:val="nil"/>
              <w:left w:val="single" w:sz="4" w:space="0" w:color="auto"/>
              <w:bottom w:val="single" w:sz="4" w:space="0" w:color="auto"/>
              <w:right w:val="single" w:sz="4" w:space="0" w:color="auto"/>
            </w:tcBorders>
            <w:shd w:val="clear" w:color="auto" w:fill="auto"/>
            <w:vAlign w:val="center"/>
          </w:tcPr>
          <w:p w14:paraId="0C80E019" w14:textId="77777777" w:rsidR="00DB4566" w:rsidRPr="006803DF" w:rsidRDefault="00DB4566" w:rsidP="00DB4566">
            <w:pPr>
              <w:rPr>
                <w:rFonts w:cs="Arial"/>
              </w:rPr>
            </w:pPr>
            <w:r w:rsidRPr="006803DF">
              <w:rPr>
                <w:rFonts w:cs="Arial"/>
              </w:rPr>
              <w:t xml:space="preserve">Revenue and reserves </w:t>
            </w:r>
            <w:r w:rsidR="00F61DFB" w:rsidRPr="006803DF">
              <w:rPr>
                <w:rFonts w:cs="Arial"/>
              </w:rPr>
              <w:t>and contributions</w:t>
            </w:r>
          </w:p>
        </w:tc>
        <w:tc>
          <w:tcPr>
            <w:tcW w:w="1215" w:type="dxa"/>
            <w:tcBorders>
              <w:top w:val="nil"/>
              <w:left w:val="nil"/>
              <w:bottom w:val="single" w:sz="4" w:space="0" w:color="auto"/>
              <w:right w:val="single" w:sz="4" w:space="0" w:color="auto"/>
            </w:tcBorders>
            <w:shd w:val="clear" w:color="auto" w:fill="auto"/>
            <w:noWrap/>
          </w:tcPr>
          <w:p w14:paraId="4721C8F8" w14:textId="77777777" w:rsidR="00DB4566" w:rsidRPr="006803DF" w:rsidRDefault="0065196F" w:rsidP="00615F4F">
            <w:pPr>
              <w:jc w:val="right"/>
            </w:pPr>
            <w:r>
              <w:t>2,923</w:t>
            </w:r>
          </w:p>
        </w:tc>
        <w:tc>
          <w:tcPr>
            <w:tcW w:w="1215" w:type="dxa"/>
            <w:tcBorders>
              <w:top w:val="nil"/>
              <w:left w:val="nil"/>
              <w:bottom w:val="single" w:sz="4" w:space="0" w:color="auto"/>
              <w:right w:val="single" w:sz="4" w:space="0" w:color="auto"/>
            </w:tcBorders>
            <w:shd w:val="clear" w:color="auto" w:fill="auto"/>
            <w:noWrap/>
          </w:tcPr>
          <w:p w14:paraId="76279A2C" w14:textId="77777777" w:rsidR="00DB4566" w:rsidRPr="006803DF" w:rsidRDefault="00497A04" w:rsidP="0065196F">
            <w:pPr>
              <w:jc w:val="right"/>
            </w:pPr>
            <w:r w:rsidRPr="006803DF">
              <w:t>1,58</w:t>
            </w:r>
            <w:r w:rsidR="0065196F">
              <w:t>1</w:t>
            </w:r>
          </w:p>
        </w:tc>
        <w:tc>
          <w:tcPr>
            <w:tcW w:w="1348" w:type="dxa"/>
            <w:tcBorders>
              <w:top w:val="nil"/>
              <w:left w:val="nil"/>
              <w:bottom w:val="single" w:sz="4" w:space="0" w:color="auto"/>
              <w:right w:val="single" w:sz="4" w:space="0" w:color="auto"/>
            </w:tcBorders>
            <w:shd w:val="clear" w:color="auto" w:fill="auto"/>
            <w:noWrap/>
          </w:tcPr>
          <w:p w14:paraId="68528025" w14:textId="77777777" w:rsidR="00DB4566" w:rsidRPr="006803DF" w:rsidRDefault="00615F4F" w:rsidP="00615F4F">
            <w:pPr>
              <w:jc w:val="right"/>
            </w:pPr>
            <w:r w:rsidRPr="006803DF">
              <w:t>2,776</w:t>
            </w:r>
          </w:p>
        </w:tc>
        <w:tc>
          <w:tcPr>
            <w:tcW w:w="1348" w:type="dxa"/>
            <w:tcBorders>
              <w:top w:val="nil"/>
              <w:left w:val="nil"/>
              <w:bottom w:val="single" w:sz="4" w:space="0" w:color="auto"/>
              <w:right w:val="single" w:sz="4" w:space="0" w:color="auto"/>
            </w:tcBorders>
            <w:shd w:val="clear" w:color="auto" w:fill="auto"/>
            <w:noWrap/>
          </w:tcPr>
          <w:p w14:paraId="400AF684" w14:textId="77777777" w:rsidR="00DB4566" w:rsidRPr="006803DF" w:rsidRDefault="00615F4F" w:rsidP="00615F4F">
            <w:pPr>
              <w:jc w:val="right"/>
            </w:pPr>
            <w:r w:rsidRPr="006803DF">
              <w:t>455</w:t>
            </w:r>
          </w:p>
        </w:tc>
      </w:tr>
      <w:tr w:rsidR="00DB4566" w:rsidRPr="006803DF" w14:paraId="1A4C67FF" w14:textId="77777777"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14:paraId="35A3DD42" w14:textId="77777777" w:rsidR="00DB4566" w:rsidRPr="006803DF" w:rsidRDefault="00DB4566" w:rsidP="00DB4566">
            <w:pPr>
              <w:rPr>
                <w:rFonts w:cs="Arial"/>
                <w:bCs/>
              </w:rPr>
            </w:pPr>
            <w:r w:rsidRPr="006803DF">
              <w:rPr>
                <w:rFonts w:cs="Arial"/>
                <w:bCs/>
              </w:rPr>
              <w:t>Community Infrastructure Levy</w:t>
            </w:r>
            <w:r w:rsidR="00497A04" w:rsidRPr="006803DF">
              <w:rPr>
                <w:rFonts w:cs="Arial"/>
                <w:bCs/>
              </w:rPr>
              <w:t xml:space="preserve"> and section 106</w:t>
            </w:r>
          </w:p>
        </w:tc>
        <w:tc>
          <w:tcPr>
            <w:tcW w:w="1215" w:type="dxa"/>
            <w:tcBorders>
              <w:top w:val="nil"/>
              <w:left w:val="nil"/>
              <w:bottom w:val="single" w:sz="4" w:space="0" w:color="auto"/>
              <w:right w:val="single" w:sz="4" w:space="0" w:color="auto"/>
            </w:tcBorders>
            <w:shd w:val="clear" w:color="auto" w:fill="auto"/>
            <w:noWrap/>
          </w:tcPr>
          <w:p w14:paraId="6A6C04B7" w14:textId="77777777" w:rsidR="00DB4566" w:rsidRPr="006803DF" w:rsidRDefault="0065196F" w:rsidP="0065196F">
            <w:pPr>
              <w:jc w:val="right"/>
            </w:pPr>
            <w:r>
              <w:t>14,029</w:t>
            </w:r>
          </w:p>
        </w:tc>
        <w:tc>
          <w:tcPr>
            <w:tcW w:w="1215" w:type="dxa"/>
            <w:tcBorders>
              <w:top w:val="nil"/>
              <w:left w:val="nil"/>
              <w:bottom w:val="single" w:sz="4" w:space="0" w:color="auto"/>
              <w:right w:val="single" w:sz="4" w:space="0" w:color="auto"/>
            </w:tcBorders>
            <w:shd w:val="clear" w:color="auto" w:fill="auto"/>
            <w:noWrap/>
          </w:tcPr>
          <w:p w14:paraId="4CFDD538" w14:textId="77777777" w:rsidR="00DB4566" w:rsidRPr="006803DF" w:rsidRDefault="0083184E" w:rsidP="0065196F">
            <w:pPr>
              <w:jc w:val="right"/>
            </w:pPr>
            <w:r>
              <w:t>4,1</w:t>
            </w:r>
            <w:r w:rsidR="0065196F">
              <w:t>05</w:t>
            </w:r>
          </w:p>
        </w:tc>
        <w:tc>
          <w:tcPr>
            <w:tcW w:w="1348" w:type="dxa"/>
            <w:tcBorders>
              <w:top w:val="nil"/>
              <w:left w:val="nil"/>
              <w:bottom w:val="single" w:sz="4" w:space="0" w:color="auto"/>
              <w:right w:val="single" w:sz="4" w:space="0" w:color="auto"/>
            </w:tcBorders>
            <w:shd w:val="clear" w:color="auto" w:fill="auto"/>
            <w:noWrap/>
          </w:tcPr>
          <w:p w14:paraId="40E99F08" w14:textId="77777777" w:rsidR="00DB4566" w:rsidRPr="006803DF" w:rsidRDefault="0065196F" w:rsidP="0065196F">
            <w:pPr>
              <w:jc w:val="right"/>
            </w:pPr>
            <w:r>
              <w:t>186</w:t>
            </w:r>
          </w:p>
        </w:tc>
        <w:tc>
          <w:tcPr>
            <w:tcW w:w="1348" w:type="dxa"/>
            <w:tcBorders>
              <w:top w:val="nil"/>
              <w:left w:val="nil"/>
              <w:bottom w:val="single" w:sz="4" w:space="0" w:color="auto"/>
              <w:right w:val="single" w:sz="4" w:space="0" w:color="auto"/>
            </w:tcBorders>
            <w:shd w:val="clear" w:color="auto" w:fill="auto"/>
            <w:noWrap/>
          </w:tcPr>
          <w:p w14:paraId="5D86E001" w14:textId="77777777" w:rsidR="00DB4566" w:rsidRPr="006803DF" w:rsidRDefault="00FC1AE5" w:rsidP="00DB4566">
            <w:pPr>
              <w:jc w:val="right"/>
            </w:pPr>
            <w:r w:rsidRPr="006803DF">
              <w:t>-</w:t>
            </w:r>
          </w:p>
        </w:tc>
      </w:tr>
      <w:tr w:rsidR="00DB4566" w:rsidRPr="006803DF" w14:paraId="6BB42864" w14:textId="77777777"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14:paraId="003E6F1E" w14:textId="77777777" w:rsidR="00DB4566" w:rsidRPr="006803DF" w:rsidRDefault="00DB4566" w:rsidP="00DB4566">
            <w:pPr>
              <w:rPr>
                <w:rFonts w:cs="Arial"/>
                <w:bCs/>
              </w:rPr>
            </w:pPr>
            <w:r w:rsidRPr="006803DF">
              <w:rPr>
                <w:rFonts w:cs="Arial"/>
                <w:bCs/>
              </w:rPr>
              <w:t>Grants</w:t>
            </w:r>
          </w:p>
        </w:tc>
        <w:tc>
          <w:tcPr>
            <w:tcW w:w="1215" w:type="dxa"/>
            <w:tcBorders>
              <w:top w:val="nil"/>
              <w:left w:val="nil"/>
              <w:bottom w:val="single" w:sz="4" w:space="0" w:color="auto"/>
              <w:right w:val="single" w:sz="4" w:space="0" w:color="auto"/>
            </w:tcBorders>
            <w:shd w:val="clear" w:color="auto" w:fill="auto"/>
            <w:noWrap/>
          </w:tcPr>
          <w:p w14:paraId="76397E54" w14:textId="77777777" w:rsidR="00DB4566" w:rsidRPr="006803DF" w:rsidRDefault="00FC1AE5" w:rsidP="0065196F">
            <w:pPr>
              <w:jc w:val="right"/>
            </w:pPr>
            <w:r w:rsidRPr="006803DF">
              <w:t>2</w:t>
            </w:r>
            <w:r w:rsidR="0083218A">
              <w:t>2</w:t>
            </w:r>
            <w:r w:rsidRPr="006803DF">
              <w:t>,</w:t>
            </w:r>
            <w:r w:rsidR="0065196F">
              <w:t>235</w:t>
            </w:r>
          </w:p>
        </w:tc>
        <w:tc>
          <w:tcPr>
            <w:tcW w:w="1215" w:type="dxa"/>
            <w:tcBorders>
              <w:top w:val="nil"/>
              <w:left w:val="nil"/>
              <w:bottom w:val="single" w:sz="4" w:space="0" w:color="auto"/>
              <w:right w:val="single" w:sz="4" w:space="0" w:color="auto"/>
            </w:tcBorders>
            <w:shd w:val="clear" w:color="auto" w:fill="auto"/>
            <w:noWrap/>
          </w:tcPr>
          <w:p w14:paraId="16B051B5" w14:textId="77777777" w:rsidR="00DB4566" w:rsidRPr="006803DF" w:rsidRDefault="0083184E" w:rsidP="0065196F">
            <w:pPr>
              <w:jc w:val="right"/>
            </w:pPr>
            <w:r>
              <w:t>5,</w:t>
            </w:r>
            <w:r w:rsidR="0065196F">
              <w:t>118</w:t>
            </w:r>
          </w:p>
        </w:tc>
        <w:tc>
          <w:tcPr>
            <w:tcW w:w="1348" w:type="dxa"/>
            <w:tcBorders>
              <w:top w:val="nil"/>
              <w:left w:val="nil"/>
              <w:bottom w:val="single" w:sz="4" w:space="0" w:color="auto"/>
              <w:right w:val="single" w:sz="4" w:space="0" w:color="auto"/>
            </w:tcBorders>
            <w:shd w:val="clear" w:color="auto" w:fill="auto"/>
            <w:noWrap/>
          </w:tcPr>
          <w:p w14:paraId="053B51EB" w14:textId="77777777" w:rsidR="00DB4566" w:rsidRPr="006803DF" w:rsidRDefault="00FC1AE5" w:rsidP="0065196F">
            <w:pPr>
              <w:jc w:val="right"/>
            </w:pPr>
            <w:r w:rsidRPr="006803DF">
              <w:t>1,</w:t>
            </w:r>
            <w:r w:rsidR="0065196F">
              <w:t>200</w:t>
            </w:r>
          </w:p>
        </w:tc>
        <w:tc>
          <w:tcPr>
            <w:tcW w:w="1348" w:type="dxa"/>
            <w:tcBorders>
              <w:top w:val="nil"/>
              <w:left w:val="nil"/>
              <w:bottom w:val="single" w:sz="4" w:space="0" w:color="auto"/>
              <w:right w:val="single" w:sz="4" w:space="0" w:color="auto"/>
            </w:tcBorders>
            <w:shd w:val="clear" w:color="auto" w:fill="auto"/>
            <w:noWrap/>
          </w:tcPr>
          <w:p w14:paraId="4FC24A95" w14:textId="77777777" w:rsidR="00DB4566" w:rsidRPr="006803DF" w:rsidRDefault="00FC1AE5" w:rsidP="00DB4566">
            <w:pPr>
              <w:jc w:val="right"/>
            </w:pPr>
            <w:r w:rsidRPr="006803DF">
              <w:t>1,200</w:t>
            </w:r>
          </w:p>
        </w:tc>
      </w:tr>
      <w:tr w:rsidR="00DB4566" w:rsidRPr="006803DF" w14:paraId="28F31A06" w14:textId="77777777" w:rsidTr="0017448C">
        <w:trPr>
          <w:trHeight w:val="349"/>
        </w:trPr>
        <w:tc>
          <w:tcPr>
            <w:tcW w:w="3358" w:type="dxa"/>
            <w:tcBorders>
              <w:top w:val="nil"/>
              <w:left w:val="single" w:sz="4" w:space="0" w:color="auto"/>
              <w:bottom w:val="single" w:sz="4" w:space="0" w:color="auto"/>
              <w:right w:val="single" w:sz="4" w:space="0" w:color="auto"/>
            </w:tcBorders>
            <w:shd w:val="clear" w:color="auto" w:fill="auto"/>
            <w:vAlign w:val="center"/>
          </w:tcPr>
          <w:p w14:paraId="797E849A" w14:textId="77777777" w:rsidR="00DB4566" w:rsidRPr="006803DF" w:rsidRDefault="00DB4566" w:rsidP="00DB4566">
            <w:pPr>
              <w:rPr>
                <w:rFonts w:cs="Arial"/>
                <w:bCs/>
              </w:rPr>
            </w:pPr>
            <w:r w:rsidRPr="006803DF">
              <w:rPr>
                <w:rFonts w:cs="Arial"/>
                <w:bCs/>
              </w:rPr>
              <w:t>Borrowing</w:t>
            </w:r>
          </w:p>
        </w:tc>
        <w:tc>
          <w:tcPr>
            <w:tcW w:w="1215" w:type="dxa"/>
            <w:tcBorders>
              <w:top w:val="nil"/>
              <w:left w:val="nil"/>
              <w:bottom w:val="single" w:sz="4" w:space="0" w:color="auto"/>
              <w:right w:val="single" w:sz="4" w:space="0" w:color="auto"/>
            </w:tcBorders>
            <w:shd w:val="clear" w:color="auto" w:fill="auto"/>
            <w:noWrap/>
          </w:tcPr>
          <w:p w14:paraId="05B206F4" w14:textId="77777777" w:rsidR="00DB4566" w:rsidRPr="006803DF" w:rsidRDefault="00FC1AE5" w:rsidP="0065196F">
            <w:pPr>
              <w:jc w:val="right"/>
            </w:pPr>
            <w:r w:rsidRPr="006803DF">
              <w:t>6</w:t>
            </w:r>
            <w:r w:rsidR="0065196F">
              <w:t>2</w:t>
            </w:r>
            <w:r w:rsidR="0083184E">
              <w:t>,</w:t>
            </w:r>
            <w:r w:rsidR="0065196F">
              <w:t>738</w:t>
            </w:r>
          </w:p>
        </w:tc>
        <w:tc>
          <w:tcPr>
            <w:tcW w:w="1215" w:type="dxa"/>
            <w:tcBorders>
              <w:top w:val="nil"/>
              <w:left w:val="nil"/>
              <w:bottom w:val="single" w:sz="4" w:space="0" w:color="auto"/>
              <w:right w:val="single" w:sz="4" w:space="0" w:color="auto"/>
            </w:tcBorders>
            <w:shd w:val="clear" w:color="auto" w:fill="auto"/>
            <w:noWrap/>
          </w:tcPr>
          <w:p w14:paraId="19C16DA0" w14:textId="77777777" w:rsidR="00DB4566" w:rsidRPr="006803DF" w:rsidRDefault="00FC1AE5" w:rsidP="0065196F">
            <w:pPr>
              <w:jc w:val="right"/>
            </w:pPr>
            <w:r w:rsidRPr="006803DF">
              <w:t>2</w:t>
            </w:r>
            <w:r w:rsidR="0065196F">
              <w:t>9</w:t>
            </w:r>
            <w:r w:rsidRPr="006803DF">
              <w:t>,</w:t>
            </w:r>
            <w:r w:rsidR="0083184E">
              <w:t>9</w:t>
            </w:r>
            <w:r w:rsidR="0065196F">
              <w:t>25</w:t>
            </w:r>
          </w:p>
        </w:tc>
        <w:tc>
          <w:tcPr>
            <w:tcW w:w="1348" w:type="dxa"/>
            <w:tcBorders>
              <w:top w:val="nil"/>
              <w:left w:val="nil"/>
              <w:bottom w:val="single" w:sz="4" w:space="0" w:color="auto"/>
              <w:right w:val="single" w:sz="4" w:space="0" w:color="auto"/>
            </w:tcBorders>
            <w:shd w:val="clear" w:color="auto" w:fill="auto"/>
            <w:noWrap/>
          </w:tcPr>
          <w:p w14:paraId="2C974255" w14:textId="77777777" w:rsidR="00DB4566" w:rsidRPr="006803DF" w:rsidRDefault="0065196F" w:rsidP="0083184E">
            <w:pPr>
              <w:jc w:val="right"/>
            </w:pPr>
            <w:r>
              <w:t>58,648</w:t>
            </w:r>
          </w:p>
        </w:tc>
        <w:tc>
          <w:tcPr>
            <w:tcW w:w="1348" w:type="dxa"/>
            <w:tcBorders>
              <w:top w:val="nil"/>
              <w:left w:val="nil"/>
              <w:bottom w:val="single" w:sz="4" w:space="0" w:color="auto"/>
              <w:right w:val="single" w:sz="4" w:space="0" w:color="auto"/>
            </w:tcBorders>
            <w:shd w:val="clear" w:color="auto" w:fill="auto"/>
            <w:noWrap/>
          </w:tcPr>
          <w:p w14:paraId="41D87AFD" w14:textId="77777777" w:rsidR="00DB4566" w:rsidRPr="006803DF" w:rsidRDefault="00615F4F" w:rsidP="00DB4566">
            <w:pPr>
              <w:jc w:val="right"/>
            </w:pPr>
            <w:r w:rsidRPr="006803DF">
              <w:t>9,679</w:t>
            </w:r>
          </w:p>
        </w:tc>
      </w:tr>
      <w:tr w:rsidR="00002A6D" w:rsidRPr="006803DF" w14:paraId="4FE15AB1" w14:textId="77777777"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14:paraId="113A110E" w14:textId="77777777" w:rsidR="00002A6D" w:rsidRPr="006803DF" w:rsidRDefault="00002A6D" w:rsidP="00002A6D">
            <w:pPr>
              <w:rPr>
                <w:rFonts w:cs="Arial"/>
                <w:b/>
                <w:bCs/>
              </w:rPr>
            </w:pPr>
            <w:r w:rsidRPr="006803DF">
              <w:rPr>
                <w:rFonts w:cs="Arial"/>
                <w:b/>
                <w:bCs/>
              </w:rPr>
              <w:t>TOTAL GENERAL FUND</w:t>
            </w:r>
          </w:p>
        </w:tc>
        <w:tc>
          <w:tcPr>
            <w:tcW w:w="1215" w:type="dxa"/>
            <w:tcBorders>
              <w:top w:val="nil"/>
              <w:left w:val="nil"/>
              <w:bottom w:val="single" w:sz="4" w:space="0" w:color="auto"/>
              <w:right w:val="single" w:sz="4" w:space="0" w:color="auto"/>
            </w:tcBorders>
            <w:shd w:val="clear" w:color="auto" w:fill="auto"/>
            <w:noWrap/>
          </w:tcPr>
          <w:p w14:paraId="7BACF463" w14:textId="77777777" w:rsidR="00002A6D" w:rsidRPr="006803DF" w:rsidRDefault="0083184E" w:rsidP="0098677E">
            <w:pPr>
              <w:jc w:val="right"/>
              <w:rPr>
                <w:b/>
              </w:rPr>
            </w:pPr>
            <w:r>
              <w:rPr>
                <w:b/>
              </w:rPr>
              <w:t>11</w:t>
            </w:r>
            <w:r w:rsidR="0098677E">
              <w:rPr>
                <w:b/>
              </w:rPr>
              <w:t>6</w:t>
            </w:r>
            <w:r>
              <w:rPr>
                <w:b/>
              </w:rPr>
              <w:t>,</w:t>
            </w:r>
            <w:r w:rsidR="0098677E">
              <w:rPr>
                <w:b/>
              </w:rPr>
              <w:t>971</w:t>
            </w:r>
          </w:p>
        </w:tc>
        <w:tc>
          <w:tcPr>
            <w:tcW w:w="1215" w:type="dxa"/>
            <w:tcBorders>
              <w:top w:val="nil"/>
              <w:left w:val="nil"/>
              <w:bottom w:val="single" w:sz="4" w:space="0" w:color="auto"/>
              <w:right w:val="single" w:sz="4" w:space="0" w:color="auto"/>
            </w:tcBorders>
            <w:shd w:val="clear" w:color="auto" w:fill="auto"/>
            <w:noWrap/>
          </w:tcPr>
          <w:p w14:paraId="352883E9" w14:textId="77777777" w:rsidR="00002A6D" w:rsidRPr="006803DF" w:rsidRDefault="0083184E" w:rsidP="0065196F">
            <w:pPr>
              <w:jc w:val="right"/>
              <w:rPr>
                <w:b/>
              </w:rPr>
            </w:pPr>
            <w:r>
              <w:rPr>
                <w:b/>
              </w:rPr>
              <w:t>5</w:t>
            </w:r>
            <w:r w:rsidR="0065196F">
              <w:rPr>
                <w:b/>
              </w:rPr>
              <w:t>5</w:t>
            </w:r>
            <w:r>
              <w:rPr>
                <w:b/>
              </w:rPr>
              <w:t>,010</w:t>
            </w:r>
          </w:p>
        </w:tc>
        <w:tc>
          <w:tcPr>
            <w:tcW w:w="1348" w:type="dxa"/>
            <w:tcBorders>
              <w:top w:val="nil"/>
              <w:left w:val="nil"/>
              <w:bottom w:val="single" w:sz="4" w:space="0" w:color="auto"/>
              <w:right w:val="single" w:sz="4" w:space="0" w:color="auto"/>
            </w:tcBorders>
            <w:shd w:val="clear" w:color="auto" w:fill="auto"/>
            <w:noWrap/>
          </w:tcPr>
          <w:p w14:paraId="6E59448E" w14:textId="77777777" w:rsidR="00002A6D" w:rsidRPr="006803DF" w:rsidRDefault="0083184E" w:rsidP="006803DF">
            <w:pPr>
              <w:jc w:val="right"/>
              <w:rPr>
                <w:b/>
              </w:rPr>
            </w:pPr>
            <w:r>
              <w:rPr>
                <w:b/>
              </w:rPr>
              <w:t>81,256</w:t>
            </w:r>
          </w:p>
        </w:tc>
        <w:tc>
          <w:tcPr>
            <w:tcW w:w="1348" w:type="dxa"/>
            <w:tcBorders>
              <w:top w:val="nil"/>
              <w:left w:val="nil"/>
              <w:bottom w:val="single" w:sz="4" w:space="0" w:color="auto"/>
              <w:right w:val="single" w:sz="4" w:space="0" w:color="auto"/>
            </w:tcBorders>
            <w:shd w:val="clear" w:color="auto" w:fill="auto"/>
            <w:noWrap/>
          </w:tcPr>
          <w:p w14:paraId="71A7DD4A" w14:textId="77777777" w:rsidR="00002A6D" w:rsidRPr="006803DF" w:rsidRDefault="00002A6D" w:rsidP="00002A6D">
            <w:pPr>
              <w:jc w:val="right"/>
              <w:rPr>
                <w:b/>
              </w:rPr>
            </w:pPr>
            <w:r w:rsidRPr="006803DF">
              <w:rPr>
                <w:b/>
              </w:rPr>
              <w:t>24,926</w:t>
            </w:r>
          </w:p>
        </w:tc>
      </w:tr>
      <w:tr w:rsidR="00002A6D" w:rsidRPr="006803DF" w14:paraId="34E5822E" w14:textId="77777777" w:rsidTr="00013557">
        <w:trPr>
          <w:trHeight w:val="300"/>
        </w:trPr>
        <w:tc>
          <w:tcPr>
            <w:tcW w:w="3358" w:type="dxa"/>
            <w:tcBorders>
              <w:top w:val="nil"/>
              <w:left w:val="single" w:sz="4" w:space="0" w:color="auto"/>
              <w:bottom w:val="single" w:sz="4" w:space="0" w:color="auto"/>
              <w:right w:val="single" w:sz="4" w:space="0" w:color="auto"/>
            </w:tcBorders>
            <w:shd w:val="clear" w:color="auto" w:fill="BFBFBF"/>
            <w:vAlign w:val="center"/>
          </w:tcPr>
          <w:p w14:paraId="1361070E" w14:textId="77777777" w:rsidR="00002A6D" w:rsidRPr="006803DF" w:rsidRDefault="00002A6D" w:rsidP="00002A6D">
            <w:pPr>
              <w:rPr>
                <w:rFonts w:cs="Arial"/>
                <w:b/>
                <w:bCs/>
              </w:rPr>
            </w:pPr>
            <w:r w:rsidRPr="006803DF">
              <w:rPr>
                <w:rFonts w:cs="Arial"/>
                <w:b/>
                <w:bCs/>
              </w:rPr>
              <w:t>HRA</w:t>
            </w:r>
          </w:p>
        </w:tc>
        <w:tc>
          <w:tcPr>
            <w:tcW w:w="1215" w:type="dxa"/>
            <w:tcBorders>
              <w:top w:val="nil"/>
              <w:left w:val="nil"/>
              <w:bottom w:val="single" w:sz="4" w:space="0" w:color="auto"/>
              <w:right w:val="single" w:sz="4" w:space="0" w:color="auto"/>
            </w:tcBorders>
            <w:shd w:val="clear" w:color="auto" w:fill="auto"/>
            <w:noWrap/>
            <w:vAlign w:val="center"/>
          </w:tcPr>
          <w:p w14:paraId="0C5853E5" w14:textId="77777777" w:rsidR="00002A6D" w:rsidRPr="006803DF" w:rsidRDefault="00002A6D" w:rsidP="00002A6D">
            <w:pPr>
              <w:jc w:val="right"/>
              <w:rPr>
                <w:rFonts w:cs="Arial"/>
                <w:bCs/>
              </w:rPr>
            </w:pPr>
          </w:p>
        </w:tc>
        <w:tc>
          <w:tcPr>
            <w:tcW w:w="1215" w:type="dxa"/>
            <w:tcBorders>
              <w:top w:val="nil"/>
              <w:left w:val="nil"/>
              <w:bottom w:val="single" w:sz="4" w:space="0" w:color="auto"/>
              <w:right w:val="single" w:sz="4" w:space="0" w:color="auto"/>
            </w:tcBorders>
            <w:shd w:val="clear" w:color="auto" w:fill="auto"/>
            <w:noWrap/>
            <w:vAlign w:val="center"/>
          </w:tcPr>
          <w:p w14:paraId="33972753" w14:textId="77777777" w:rsidR="00002A6D" w:rsidRPr="006803DF" w:rsidRDefault="00002A6D" w:rsidP="00002A6D">
            <w:pPr>
              <w:jc w:val="right"/>
              <w:rPr>
                <w:rFonts w:cs="Arial"/>
                <w:bCs/>
              </w:rPr>
            </w:pPr>
          </w:p>
        </w:tc>
        <w:tc>
          <w:tcPr>
            <w:tcW w:w="1348" w:type="dxa"/>
            <w:tcBorders>
              <w:top w:val="nil"/>
              <w:left w:val="nil"/>
              <w:bottom w:val="single" w:sz="4" w:space="0" w:color="auto"/>
              <w:right w:val="single" w:sz="4" w:space="0" w:color="auto"/>
            </w:tcBorders>
            <w:shd w:val="clear" w:color="auto" w:fill="auto"/>
            <w:noWrap/>
            <w:vAlign w:val="center"/>
          </w:tcPr>
          <w:p w14:paraId="48CC584B" w14:textId="77777777" w:rsidR="00002A6D" w:rsidRPr="006803DF" w:rsidRDefault="00002A6D" w:rsidP="00002A6D">
            <w:pPr>
              <w:jc w:val="right"/>
              <w:rPr>
                <w:rFonts w:cs="Arial"/>
                <w:bCs/>
              </w:rPr>
            </w:pPr>
          </w:p>
        </w:tc>
        <w:tc>
          <w:tcPr>
            <w:tcW w:w="1348" w:type="dxa"/>
            <w:tcBorders>
              <w:top w:val="nil"/>
              <w:left w:val="nil"/>
              <w:bottom w:val="single" w:sz="4" w:space="0" w:color="auto"/>
              <w:right w:val="single" w:sz="4" w:space="0" w:color="auto"/>
            </w:tcBorders>
            <w:shd w:val="clear" w:color="auto" w:fill="auto"/>
            <w:noWrap/>
            <w:vAlign w:val="center"/>
          </w:tcPr>
          <w:p w14:paraId="6264177A" w14:textId="77777777" w:rsidR="00002A6D" w:rsidRPr="006803DF" w:rsidRDefault="00002A6D" w:rsidP="00002A6D">
            <w:pPr>
              <w:jc w:val="right"/>
              <w:rPr>
                <w:rFonts w:cs="Arial"/>
                <w:bCs/>
              </w:rPr>
            </w:pPr>
          </w:p>
        </w:tc>
      </w:tr>
      <w:tr w:rsidR="00002A6D" w:rsidRPr="006803DF" w14:paraId="34A8DBAD" w14:textId="77777777"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14:paraId="63BFF6E6" w14:textId="77777777" w:rsidR="00002A6D" w:rsidRPr="006803DF" w:rsidRDefault="00002A6D" w:rsidP="00002A6D">
            <w:pPr>
              <w:jc w:val="both"/>
              <w:rPr>
                <w:rFonts w:cs="Arial"/>
              </w:rPr>
            </w:pPr>
            <w:r w:rsidRPr="006803DF">
              <w:rPr>
                <w:rFonts w:cs="Arial"/>
              </w:rPr>
              <w:t>Major Repairs Reserve</w:t>
            </w:r>
          </w:p>
        </w:tc>
        <w:tc>
          <w:tcPr>
            <w:tcW w:w="1215" w:type="dxa"/>
            <w:tcBorders>
              <w:top w:val="nil"/>
              <w:left w:val="nil"/>
              <w:bottom w:val="single" w:sz="4" w:space="0" w:color="auto"/>
              <w:right w:val="single" w:sz="4" w:space="0" w:color="auto"/>
            </w:tcBorders>
            <w:shd w:val="clear" w:color="auto" w:fill="auto"/>
            <w:noWrap/>
          </w:tcPr>
          <w:p w14:paraId="566FCDBD" w14:textId="77777777" w:rsidR="00002A6D" w:rsidRPr="006803DF" w:rsidRDefault="00002A6D" w:rsidP="00002A6D">
            <w:pPr>
              <w:jc w:val="right"/>
            </w:pPr>
            <w:r w:rsidRPr="006803DF">
              <w:t>10,393</w:t>
            </w:r>
          </w:p>
        </w:tc>
        <w:tc>
          <w:tcPr>
            <w:tcW w:w="1215" w:type="dxa"/>
            <w:tcBorders>
              <w:top w:val="nil"/>
              <w:left w:val="nil"/>
              <w:bottom w:val="single" w:sz="4" w:space="0" w:color="auto"/>
              <w:right w:val="single" w:sz="4" w:space="0" w:color="auto"/>
            </w:tcBorders>
            <w:shd w:val="clear" w:color="auto" w:fill="auto"/>
            <w:noWrap/>
          </w:tcPr>
          <w:p w14:paraId="1A34B2FD" w14:textId="77777777" w:rsidR="00002A6D" w:rsidRPr="006803DF" w:rsidRDefault="00002A6D" w:rsidP="00002A6D">
            <w:pPr>
              <w:jc w:val="right"/>
            </w:pPr>
            <w:r w:rsidRPr="006803DF">
              <w:t>10,414</w:t>
            </w:r>
          </w:p>
        </w:tc>
        <w:tc>
          <w:tcPr>
            <w:tcW w:w="1348" w:type="dxa"/>
            <w:tcBorders>
              <w:top w:val="nil"/>
              <w:left w:val="nil"/>
              <w:bottom w:val="single" w:sz="4" w:space="0" w:color="auto"/>
              <w:right w:val="single" w:sz="4" w:space="0" w:color="auto"/>
            </w:tcBorders>
            <w:shd w:val="clear" w:color="auto" w:fill="auto"/>
            <w:noWrap/>
          </w:tcPr>
          <w:p w14:paraId="72C359E4" w14:textId="77777777" w:rsidR="00002A6D" w:rsidRPr="006803DF" w:rsidRDefault="00002A6D" w:rsidP="00002A6D">
            <w:pPr>
              <w:jc w:val="right"/>
            </w:pPr>
            <w:r w:rsidRPr="006803DF">
              <w:t>9,829</w:t>
            </w:r>
          </w:p>
        </w:tc>
        <w:tc>
          <w:tcPr>
            <w:tcW w:w="1348" w:type="dxa"/>
            <w:tcBorders>
              <w:top w:val="nil"/>
              <w:left w:val="nil"/>
              <w:bottom w:val="single" w:sz="4" w:space="0" w:color="auto"/>
              <w:right w:val="single" w:sz="4" w:space="0" w:color="auto"/>
            </w:tcBorders>
            <w:shd w:val="clear" w:color="auto" w:fill="auto"/>
            <w:noWrap/>
          </w:tcPr>
          <w:p w14:paraId="4B5C72B1" w14:textId="77777777" w:rsidR="00002A6D" w:rsidRPr="006803DF" w:rsidRDefault="00A56CEE" w:rsidP="00002A6D">
            <w:pPr>
              <w:jc w:val="right"/>
            </w:pPr>
            <w:r>
              <w:t>18,830</w:t>
            </w:r>
          </w:p>
        </w:tc>
      </w:tr>
      <w:tr w:rsidR="00002A6D" w:rsidRPr="006803DF" w14:paraId="2A37A9E8" w14:textId="77777777"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14:paraId="4D003A7D" w14:textId="77777777" w:rsidR="00002A6D" w:rsidRPr="006803DF" w:rsidRDefault="00002A6D" w:rsidP="00002A6D">
            <w:pPr>
              <w:rPr>
                <w:rFonts w:cs="Arial"/>
              </w:rPr>
            </w:pPr>
            <w:r w:rsidRPr="006803DF">
              <w:rPr>
                <w:rFonts w:cs="Arial"/>
              </w:rPr>
              <w:t>Capital Receipts</w:t>
            </w:r>
          </w:p>
        </w:tc>
        <w:tc>
          <w:tcPr>
            <w:tcW w:w="1215" w:type="dxa"/>
            <w:tcBorders>
              <w:top w:val="nil"/>
              <w:left w:val="nil"/>
              <w:bottom w:val="single" w:sz="4" w:space="0" w:color="auto"/>
              <w:right w:val="single" w:sz="4" w:space="0" w:color="auto"/>
            </w:tcBorders>
            <w:shd w:val="clear" w:color="auto" w:fill="auto"/>
            <w:noWrap/>
          </w:tcPr>
          <w:p w14:paraId="1CD0A18F" w14:textId="77777777" w:rsidR="00002A6D" w:rsidRPr="006803DF" w:rsidRDefault="00002A6D" w:rsidP="00497A04">
            <w:pPr>
              <w:jc w:val="right"/>
            </w:pPr>
            <w:r w:rsidRPr="006803DF">
              <w:t>11,997</w:t>
            </w:r>
          </w:p>
        </w:tc>
        <w:tc>
          <w:tcPr>
            <w:tcW w:w="1215" w:type="dxa"/>
            <w:tcBorders>
              <w:top w:val="nil"/>
              <w:left w:val="nil"/>
              <w:bottom w:val="single" w:sz="4" w:space="0" w:color="auto"/>
              <w:right w:val="single" w:sz="4" w:space="0" w:color="auto"/>
            </w:tcBorders>
            <w:shd w:val="clear" w:color="auto" w:fill="auto"/>
            <w:noWrap/>
          </w:tcPr>
          <w:p w14:paraId="0AD29DC1" w14:textId="77777777" w:rsidR="00002A6D" w:rsidRPr="006803DF" w:rsidRDefault="00002A6D" w:rsidP="00002A6D">
            <w:pPr>
              <w:jc w:val="right"/>
            </w:pPr>
            <w:r w:rsidRPr="006803DF">
              <w:t>11,531</w:t>
            </w:r>
          </w:p>
        </w:tc>
        <w:tc>
          <w:tcPr>
            <w:tcW w:w="1348" w:type="dxa"/>
            <w:tcBorders>
              <w:top w:val="nil"/>
              <w:left w:val="nil"/>
              <w:bottom w:val="single" w:sz="4" w:space="0" w:color="auto"/>
              <w:right w:val="single" w:sz="4" w:space="0" w:color="auto"/>
            </w:tcBorders>
            <w:shd w:val="clear" w:color="auto" w:fill="auto"/>
            <w:noWrap/>
          </w:tcPr>
          <w:p w14:paraId="4CFAAE6F" w14:textId="77777777" w:rsidR="00002A6D" w:rsidRPr="006803DF" w:rsidRDefault="00002A6D" w:rsidP="00002A6D">
            <w:pPr>
              <w:jc w:val="right"/>
            </w:pPr>
            <w:r w:rsidRPr="006803DF">
              <w:t>24,640</w:t>
            </w:r>
          </w:p>
        </w:tc>
        <w:tc>
          <w:tcPr>
            <w:tcW w:w="1348" w:type="dxa"/>
            <w:tcBorders>
              <w:top w:val="nil"/>
              <w:left w:val="nil"/>
              <w:bottom w:val="single" w:sz="4" w:space="0" w:color="auto"/>
              <w:right w:val="single" w:sz="4" w:space="0" w:color="auto"/>
            </w:tcBorders>
            <w:shd w:val="clear" w:color="auto" w:fill="auto"/>
            <w:noWrap/>
          </w:tcPr>
          <w:p w14:paraId="4802B071" w14:textId="77777777" w:rsidR="00002A6D" w:rsidRPr="006803DF" w:rsidRDefault="00A56CEE" w:rsidP="00A56CEE">
            <w:pPr>
              <w:tabs>
                <w:tab w:val="center" w:pos="566"/>
                <w:tab w:val="right" w:pos="1132"/>
              </w:tabs>
            </w:pPr>
            <w:r>
              <w:tab/>
            </w:r>
            <w:r>
              <w:tab/>
              <w:t>786</w:t>
            </w:r>
          </w:p>
        </w:tc>
      </w:tr>
      <w:tr w:rsidR="00002A6D" w:rsidRPr="006803DF" w14:paraId="27BB379F" w14:textId="77777777"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14:paraId="347DEE5E" w14:textId="77777777" w:rsidR="00002A6D" w:rsidRPr="006803DF" w:rsidRDefault="00002A6D" w:rsidP="00002A6D">
            <w:pPr>
              <w:rPr>
                <w:rFonts w:cs="Arial"/>
              </w:rPr>
            </w:pPr>
            <w:r w:rsidRPr="006803DF">
              <w:rPr>
                <w:rFonts w:cs="Arial"/>
              </w:rPr>
              <w:t>Grants</w:t>
            </w:r>
          </w:p>
        </w:tc>
        <w:tc>
          <w:tcPr>
            <w:tcW w:w="1215" w:type="dxa"/>
            <w:tcBorders>
              <w:top w:val="nil"/>
              <w:left w:val="nil"/>
              <w:bottom w:val="single" w:sz="4" w:space="0" w:color="auto"/>
              <w:right w:val="single" w:sz="4" w:space="0" w:color="auto"/>
            </w:tcBorders>
            <w:shd w:val="clear" w:color="auto" w:fill="auto"/>
            <w:noWrap/>
          </w:tcPr>
          <w:p w14:paraId="5E2E51C1" w14:textId="77777777" w:rsidR="00002A6D" w:rsidRPr="006803DF" w:rsidRDefault="00002A6D" w:rsidP="00A56CEE">
            <w:pPr>
              <w:jc w:val="right"/>
            </w:pPr>
            <w:r w:rsidRPr="006803DF">
              <w:t>12,04</w:t>
            </w:r>
            <w:r w:rsidR="00A56CEE">
              <w:t>2</w:t>
            </w:r>
          </w:p>
        </w:tc>
        <w:tc>
          <w:tcPr>
            <w:tcW w:w="1215" w:type="dxa"/>
            <w:tcBorders>
              <w:top w:val="nil"/>
              <w:left w:val="nil"/>
              <w:bottom w:val="single" w:sz="4" w:space="0" w:color="auto"/>
              <w:right w:val="single" w:sz="4" w:space="0" w:color="auto"/>
            </w:tcBorders>
            <w:shd w:val="clear" w:color="auto" w:fill="auto"/>
            <w:noWrap/>
          </w:tcPr>
          <w:p w14:paraId="32034F80" w14:textId="77777777" w:rsidR="00002A6D" w:rsidRPr="006803DF" w:rsidRDefault="00002A6D" w:rsidP="00002A6D">
            <w:pPr>
              <w:jc w:val="right"/>
            </w:pPr>
            <w:r w:rsidRPr="006803DF">
              <w:t>6,873</w:t>
            </w:r>
          </w:p>
        </w:tc>
        <w:tc>
          <w:tcPr>
            <w:tcW w:w="1348" w:type="dxa"/>
            <w:tcBorders>
              <w:top w:val="nil"/>
              <w:left w:val="nil"/>
              <w:bottom w:val="single" w:sz="4" w:space="0" w:color="auto"/>
              <w:right w:val="single" w:sz="4" w:space="0" w:color="auto"/>
            </w:tcBorders>
            <w:shd w:val="clear" w:color="auto" w:fill="auto"/>
            <w:noWrap/>
          </w:tcPr>
          <w:p w14:paraId="440DBB0A" w14:textId="77777777" w:rsidR="00002A6D" w:rsidRPr="006803DF" w:rsidRDefault="00002A6D" w:rsidP="00002A6D">
            <w:pPr>
              <w:jc w:val="right"/>
            </w:pPr>
            <w:r w:rsidRPr="006803DF">
              <w:t>6,658</w:t>
            </w:r>
          </w:p>
        </w:tc>
        <w:tc>
          <w:tcPr>
            <w:tcW w:w="1348" w:type="dxa"/>
            <w:tcBorders>
              <w:top w:val="nil"/>
              <w:left w:val="nil"/>
              <w:bottom w:val="single" w:sz="4" w:space="0" w:color="auto"/>
              <w:right w:val="single" w:sz="4" w:space="0" w:color="auto"/>
            </w:tcBorders>
            <w:shd w:val="clear" w:color="auto" w:fill="auto"/>
            <w:noWrap/>
          </w:tcPr>
          <w:p w14:paraId="5DCD4ACB" w14:textId="77777777" w:rsidR="00002A6D" w:rsidRPr="006803DF" w:rsidRDefault="00002A6D" w:rsidP="00002A6D">
            <w:pPr>
              <w:jc w:val="right"/>
            </w:pPr>
            <w:r w:rsidRPr="006803DF">
              <w:t>37</w:t>
            </w:r>
          </w:p>
        </w:tc>
      </w:tr>
      <w:tr w:rsidR="00002A6D" w:rsidRPr="006803DF" w14:paraId="198A66F3" w14:textId="77777777" w:rsidTr="00A56CEE">
        <w:trPr>
          <w:trHeight w:val="406"/>
        </w:trPr>
        <w:tc>
          <w:tcPr>
            <w:tcW w:w="3358" w:type="dxa"/>
            <w:tcBorders>
              <w:top w:val="nil"/>
              <w:left w:val="single" w:sz="4" w:space="0" w:color="auto"/>
              <w:bottom w:val="single" w:sz="4" w:space="0" w:color="auto"/>
              <w:right w:val="single" w:sz="4" w:space="0" w:color="auto"/>
            </w:tcBorders>
            <w:shd w:val="clear" w:color="auto" w:fill="auto"/>
            <w:vAlign w:val="center"/>
          </w:tcPr>
          <w:p w14:paraId="54519B7D" w14:textId="77777777" w:rsidR="00002A6D" w:rsidRPr="006803DF" w:rsidRDefault="00002A6D" w:rsidP="00002A6D">
            <w:pPr>
              <w:rPr>
                <w:rFonts w:cs="Arial"/>
              </w:rPr>
            </w:pPr>
            <w:r w:rsidRPr="006803DF">
              <w:rPr>
                <w:rFonts w:cs="Arial"/>
              </w:rPr>
              <w:t>Revenue Funding</w:t>
            </w:r>
          </w:p>
        </w:tc>
        <w:tc>
          <w:tcPr>
            <w:tcW w:w="1215" w:type="dxa"/>
            <w:tcBorders>
              <w:top w:val="nil"/>
              <w:left w:val="nil"/>
              <w:bottom w:val="single" w:sz="4" w:space="0" w:color="auto"/>
              <w:right w:val="single" w:sz="4" w:space="0" w:color="auto"/>
            </w:tcBorders>
            <w:shd w:val="clear" w:color="auto" w:fill="auto"/>
            <w:noWrap/>
          </w:tcPr>
          <w:p w14:paraId="59C6E43F" w14:textId="77777777" w:rsidR="00002A6D" w:rsidRPr="006803DF" w:rsidRDefault="00002A6D" w:rsidP="00002A6D">
            <w:pPr>
              <w:jc w:val="right"/>
            </w:pPr>
          </w:p>
        </w:tc>
        <w:tc>
          <w:tcPr>
            <w:tcW w:w="1215" w:type="dxa"/>
            <w:tcBorders>
              <w:top w:val="nil"/>
              <w:left w:val="nil"/>
              <w:bottom w:val="single" w:sz="4" w:space="0" w:color="auto"/>
              <w:right w:val="single" w:sz="4" w:space="0" w:color="auto"/>
            </w:tcBorders>
            <w:shd w:val="clear" w:color="auto" w:fill="auto"/>
            <w:noWrap/>
          </w:tcPr>
          <w:p w14:paraId="3E2F3CEC" w14:textId="77777777" w:rsidR="00002A6D" w:rsidRPr="006803DF" w:rsidRDefault="00497A04" w:rsidP="00002A6D">
            <w:pPr>
              <w:jc w:val="right"/>
            </w:pPr>
            <w:r w:rsidRPr="006803DF">
              <w:t>7,980</w:t>
            </w:r>
          </w:p>
        </w:tc>
        <w:tc>
          <w:tcPr>
            <w:tcW w:w="1348" w:type="dxa"/>
            <w:tcBorders>
              <w:top w:val="nil"/>
              <w:left w:val="nil"/>
              <w:bottom w:val="single" w:sz="4" w:space="0" w:color="auto"/>
              <w:right w:val="single" w:sz="4" w:space="0" w:color="auto"/>
            </w:tcBorders>
            <w:shd w:val="clear" w:color="auto" w:fill="auto"/>
            <w:noWrap/>
          </w:tcPr>
          <w:p w14:paraId="35410320" w14:textId="77777777" w:rsidR="00002A6D" w:rsidRPr="006803DF" w:rsidRDefault="00497A04" w:rsidP="00002A6D">
            <w:pPr>
              <w:jc w:val="right"/>
            </w:pPr>
            <w:r w:rsidRPr="006803DF">
              <w:t>2,935</w:t>
            </w:r>
          </w:p>
        </w:tc>
        <w:tc>
          <w:tcPr>
            <w:tcW w:w="1348" w:type="dxa"/>
            <w:tcBorders>
              <w:top w:val="nil"/>
              <w:left w:val="nil"/>
              <w:bottom w:val="single" w:sz="4" w:space="0" w:color="auto"/>
              <w:right w:val="single" w:sz="4" w:space="0" w:color="auto"/>
            </w:tcBorders>
            <w:shd w:val="clear" w:color="auto" w:fill="auto"/>
            <w:noWrap/>
          </w:tcPr>
          <w:p w14:paraId="1A21B0DA" w14:textId="77777777" w:rsidR="00002A6D" w:rsidRPr="006803DF" w:rsidRDefault="00A56CEE" w:rsidP="00002A6D">
            <w:pPr>
              <w:jc w:val="right"/>
            </w:pPr>
            <w:r>
              <w:t>12,186</w:t>
            </w:r>
          </w:p>
        </w:tc>
      </w:tr>
      <w:tr w:rsidR="00002A6D" w:rsidRPr="006803DF" w14:paraId="432BF94A" w14:textId="77777777"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14:paraId="6D9C4441" w14:textId="77777777" w:rsidR="00002A6D" w:rsidRPr="006803DF" w:rsidRDefault="00002A6D" w:rsidP="00002A6D">
            <w:pPr>
              <w:rPr>
                <w:rFonts w:cs="Arial"/>
              </w:rPr>
            </w:pPr>
            <w:r w:rsidRPr="006803DF">
              <w:rPr>
                <w:rFonts w:cs="Arial"/>
              </w:rPr>
              <w:t>Borrowing</w:t>
            </w:r>
          </w:p>
        </w:tc>
        <w:tc>
          <w:tcPr>
            <w:tcW w:w="1215" w:type="dxa"/>
            <w:tcBorders>
              <w:top w:val="nil"/>
              <w:left w:val="nil"/>
              <w:bottom w:val="single" w:sz="4" w:space="0" w:color="auto"/>
              <w:right w:val="single" w:sz="4" w:space="0" w:color="auto"/>
            </w:tcBorders>
            <w:shd w:val="clear" w:color="auto" w:fill="auto"/>
            <w:noWrap/>
          </w:tcPr>
          <w:p w14:paraId="1EF3527F" w14:textId="77777777" w:rsidR="00002A6D" w:rsidRPr="006803DF" w:rsidRDefault="00497A04" w:rsidP="0098677E">
            <w:pPr>
              <w:jc w:val="right"/>
            </w:pPr>
            <w:r w:rsidRPr="006803DF">
              <w:t>8</w:t>
            </w:r>
            <w:r w:rsidR="0098677E">
              <w:t>4</w:t>
            </w:r>
            <w:r w:rsidRPr="006803DF">
              <w:t>,</w:t>
            </w:r>
            <w:r w:rsidR="0098677E">
              <w:t>220</w:t>
            </w:r>
          </w:p>
        </w:tc>
        <w:tc>
          <w:tcPr>
            <w:tcW w:w="1215" w:type="dxa"/>
            <w:tcBorders>
              <w:top w:val="nil"/>
              <w:left w:val="nil"/>
              <w:bottom w:val="single" w:sz="4" w:space="0" w:color="auto"/>
              <w:right w:val="single" w:sz="4" w:space="0" w:color="auto"/>
            </w:tcBorders>
            <w:shd w:val="clear" w:color="auto" w:fill="auto"/>
            <w:noWrap/>
          </w:tcPr>
          <w:p w14:paraId="77B0A6BA" w14:textId="77777777" w:rsidR="00002A6D" w:rsidRPr="006803DF" w:rsidRDefault="00497A04" w:rsidP="0098677E">
            <w:pPr>
              <w:jc w:val="right"/>
            </w:pPr>
            <w:r w:rsidRPr="006803DF">
              <w:t>9</w:t>
            </w:r>
            <w:r w:rsidR="00A56CEE">
              <w:t>2</w:t>
            </w:r>
            <w:r w:rsidRPr="006803DF">
              <w:t>,</w:t>
            </w:r>
            <w:r w:rsidR="0098677E">
              <w:t>612</w:t>
            </w:r>
          </w:p>
        </w:tc>
        <w:tc>
          <w:tcPr>
            <w:tcW w:w="1348" w:type="dxa"/>
            <w:tcBorders>
              <w:top w:val="nil"/>
              <w:left w:val="nil"/>
              <w:bottom w:val="single" w:sz="4" w:space="0" w:color="auto"/>
              <w:right w:val="single" w:sz="4" w:space="0" w:color="auto"/>
            </w:tcBorders>
            <w:shd w:val="clear" w:color="auto" w:fill="auto"/>
            <w:noWrap/>
          </w:tcPr>
          <w:p w14:paraId="4EF9308B" w14:textId="77777777" w:rsidR="00002A6D" w:rsidRPr="006803DF" w:rsidRDefault="00497A04" w:rsidP="00002A6D">
            <w:pPr>
              <w:jc w:val="right"/>
            </w:pPr>
            <w:r w:rsidRPr="006803DF">
              <w:t>-</w:t>
            </w:r>
          </w:p>
        </w:tc>
        <w:tc>
          <w:tcPr>
            <w:tcW w:w="1348" w:type="dxa"/>
            <w:tcBorders>
              <w:top w:val="nil"/>
              <w:left w:val="nil"/>
              <w:bottom w:val="single" w:sz="4" w:space="0" w:color="auto"/>
              <w:right w:val="single" w:sz="4" w:space="0" w:color="auto"/>
            </w:tcBorders>
            <w:shd w:val="clear" w:color="auto" w:fill="auto"/>
            <w:noWrap/>
          </w:tcPr>
          <w:p w14:paraId="48C831D1" w14:textId="77777777" w:rsidR="00002A6D" w:rsidRPr="006803DF" w:rsidRDefault="00591C00" w:rsidP="00A56CEE">
            <w:pPr>
              <w:jc w:val="right"/>
            </w:pPr>
            <w:r>
              <w:t>1</w:t>
            </w:r>
            <w:r w:rsidR="00A56CEE">
              <w:t>64,810</w:t>
            </w:r>
          </w:p>
        </w:tc>
      </w:tr>
      <w:tr w:rsidR="0098677E" w:rsidRPr="006803DF" w14:paraId="2EE93E5C" w14:textId="77777777"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14:paraId="090767F9" w14:textId="77777777" w:rsidR="0098677E" w:rsidRPr="006803DF" w:rsidRDefault="0098677E" w:rsidP="0098677E">
            <w:pPr>
              <w:rPr>
                <w:rFonts w:cs="Arial"/>
                <w:b/>
                <w:bCs/>
              </w:rPr>
            </w:pPr>
            <w:r w:rsidRPr="006803DF">
              <w:rPr>
                <w:rFonts w:cs="Arial"/>
                <w:b/>
                <w:bCs/>
              </w:rPr>
              <w:t>TOTAL HRA</w:t>
            </w:r>
          </w:p>
        </w:tc>
        <w:tc>
          <w:tcPr>
            <w:tcW w:w="1215" w:type="dxa"/>
            <w:tcBorders>
              <w:top w:val="nil"/>
              <w:left w:val="nil"/>
              <w:bottom w:val="single" w:sz="4" w:space="0" w:color="auto"/>
              <w:right w:val="single" w:sz="4" w:space="0" w:color="auto"/>
            </w:tcBorders>
            <w:shd w:val="clear" w:color="auto" w:fill="auto"/>
            <w:noWrap/>
          </w:tcPr>
          <w:p w14:paraId="7C2C77FF" w14:textId="77777777" w:rsidR="0098677E" w:rsidRPr="006803DF" w:rsidRDefault="0098677E" w:rsidP="0098677E">
            <w:pPr>
              <w:jc w:val="right"/>
              <w:rPr>
                <w:b/>
              </w:rPr>
            </w:pPr>
            <w:r w:rsidRPr="006803DF">
              <w:rPr>
                <w:b/>
              </w:rPr>
              <w:t>11</w:t>
            </w:r>
            <w:r>
              <w:rPr>
                <w:b/>
              </w:rPr>
              <w:t>8</w:t>
            </w:r>
            <w:r w:rsidRPr="006803DF">
              <w:rPr>
                <w:b/>
              </w:rPr>
              <w:t>,</w:t>
            </w:r>
            <w:r>
              <w:rPr>
                <w:b/>
              </w:rPr>
              <w:t>652</w:t>
            </w:r>
          </w:p>
        </w:tc>
        <w:tc>
          <w:tcPr>
            <w:tcW w:w="1215" w:type="dxa"/>
            <w:tcBorders>
              <w:top w:val="nil"/>
              <w:left w:val="nil"/>
              <w:bottom w:val="single" w:sz="4" w:space="0" w:color="auto"/>
              <w:right w:val="single" w:sz="4" w:space="0" w:color="auto"/>
            </w:tcBorders>
            <w:shd w:val="clear" w:color="auto" w:fill="auto"/>
            <w:noWrap/>
          </w:tcPr>
          <w:p w14:paraId="510468D9" w14:textId="77777777" w:rsidR="0098677E" w:rsidRPr="006803DF" w:rsidRDefault="0098677E" w:rsidP="0098677E">
            <w:pPr>
              <w:jc w:val="right"/>
              <w:rPr>
                <w:b/>
              </w:rPr>
            </w:pPr>
            <w:r>
              <w:rPr>
                <w:b/>
              </w:rPr>
              <w:t>129,410</w:t>
            </w:r>
          </w:p>
        </w:tc>
        <w:tc>
          <w:tcPr>
            <w:tcW w:w="1348" w:type="dxa"/>
            <w:tcBorders>
              <w:top w:val="nil"/>
              <w:left w:val="nil"/>
              <w:bottom w:val="single" w:sz="4" w:space="0" w:color="auto"/>
              <w:right w:val="single" w:sz="4" w:space="0" w:color="auto"/>
            </w:tcBorders>
            <w:shd w:val="clear" w:color="auto" w:fill="auto"/>
            <w:noWrap/>
          </w:tcPr>
          <w:p w14:paraId="3137265F" w14:textId="77777777" w:rsidR="0098677E" w:rsidRPr="006803DF" w:rsidRDefault="0098677E" w:rsidP="0098677E">
            <w:pPr>
              <w:jc w:val="right"/>
              <w:rPr>
                <w:b/>
              </w:rPr>
            </w:pPr>
            <w:r>
              <w:rPr>
                <w:b/>
              </w:rPr>
              <w:t>44,062</w:t>
            </w:r>
          </w:p>
        </w:tc>
        <w:tc>
          <w:tcPr>
            <w:tcW w:w="1348" w:type="dxa"/>
            <w:tcBorders>
              <w:top w:val="nil"/>
              <w:left w:val="nil"/>
              <w:bottom w:val="single" w:sz="4" w:space="0" w:color="auto"/>
              <w:right w:val="single" w:sz="4" w:space="0" w:color="auto"/>
            </w:tcBorders>
            <w:shd w:val="clear" w:color="auto" w:fill="auto"/>
            <w:noWrap/>
          </w:tcPr>
          <w:p w14:paraId="2BC7E6AD" w14:textId="77777777" w:rsidR="0098677E" w:rsidRPr="006803DF" w:rsidRDefault="0098677E" w:rsidP="0098677E">
            <w:pPr>
              <w:jc w:val="right"/>
              <w:rPr>
                <w:b/>
              </w:rPr>
            </w:pPr>
            <w:r>
              <w:rPr>
                <w:b/>
              </w:rPr>
              <w:t>196,649</w:t>
            </w:r>
          </w:p>
        </w:tc>
      </w:tr>
      <w:tr w:rsidR="0098677E" w:rsidRPr="006803DF" w14:paraId="4EB39F67" w14:textId="77777777" w:rsidTr="0017448C">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14:paraId="450A1C26" w14:textId="77777777" w:rsidR="0098677E" w:rsidRPr="006803DF" w:rsidRDefault="0098677E" w:rsidP="0098677E">
            <w:pPr>
              <w:rPr>
                <w:rFonts w:cs="Arial"/>
                <w:b/>
                <w:bCs/>
              </w:rPr>
            </w:pPr>
          </w:p>
        </w:tc>
        <w:tc>
          <w:tcPr>
            <w:tcW w:w="1215" w:type="dxa"/>
            <w:tcBorders>
              <w:top w:val="nil"/>
              <w:left w:val="nil"/>
              <w:bottom w:val="single" w:sz="4" w:space="0" w:color="auto"/>
              <w:right w:val="single" w:sz="4" w:space="0" w:color="auto"/>
            </w:tcBorders>
            <w:shd w:val="clear" w:color="auto" w:fill="auto"/>
            <w:noWrap/>
          </w:tcPr>
          <w:p w14:paraId="2FE6B7A5" w14:textId="77777777" w:rsidR="0098677E" w:rsidRPr="006803DF" w:rsidRDefault="0098677E" w:rsidP="0098677E">
            <w:pPr>
              <w:jc w:val="right"/>
            </w:pPr>
          </w:p>
        </w:tc>
        <w:tc>
          <w:tcPr>
            <w:tcW w:w="1215" w:type="dxa"/>
            <w:tcBorders>
              <w:top w:val="nil"/>
              <w:left w:val="nil"/>
              <w:bottom w:val="single" w:sz="4" w:space="0" w:color="auto"/>
              <w:right w:val="single" w:sz="4" w:space="0" w:color="auto"/>
            </w:tcBorders>
            <w:shd w:val="clear" w:color="auto" w:fill="auto"/>
            <w:noWrap/>
          </w:tcPr>
          <w:p w14:paraId="4120069D" w14:textId="77777777" w:rsidR="0098677E" w:rsidRPr="006803DF" w:rsidRDefault="0098677E" w:rsidP="0098677E">
            <w:pPr>
              <w:jc w:val="right"/>
            </w:pPr>
          </w:p>
        </w:tc>
        <w:tc>
          <w:tcPr>
            <w:tcW w:w="1348" w:type="dxa"/>
            <w:tcBorders>
              <w:top w:val="nil"/>
              <w:left w:val="nil"/>
              <w:bottom w:val="single" w:sz="4" w:space="0" w:color="auto"/>
              <w:right w:val="single" w:sz="4" w:space="0" w:color="auto"/>
            </w:tcBorders>
            <w:shd w:val="clear" w:color="auto" w:fill="auto"/>
            <w:noWrap/>
          </w:tcPr>
          <w:p w14:paraId="04AA8E6E" w14:textId="77777777" w:rsidR="0098677E" w:rsidRPr="006803DF" w:rsidRDefault="0098677E" w:rsidP="0098677E">
            <w:pPr>
              <w:jc w:val="right"/>
            </w:pPr>
          </w:p>
        </w:tc>
        <w:tc>
          <w:tcPr>
            <w:tcW w:w="1348" w:type="dxa"/>
            <w:tcBorders>
              <w:top w:val="nil"/>
              <w:left w:val="nil"/>
              <w:bottom w:val="single" w:sz="4" w:space="0" w:color="auto"/>
              <w:right w:val="single" w:sz="4" w:space="0" w:color="auto"/>
            </w:tcBorders>
            <w:shd w:val="clear" w:color="auto" w:fill="auto"/>
            <w:noWrap/>
          </w:tcPr>
          <w:p w14:paraId="1E26B9D3" w14:textId="77777777" w:rsidR="0098677E" w:rsidRPr="006803DF" w:rsidRDefault="0098677E" w:rsidP="0098677E">
            <w:pPr>
              <w:jc w:val="right"/>
            </w:pPr>
          </w:p>
        </w:tc>
      </w:tr>
      <w:tr w:rsidR="0098677E" w:rsidRPr="006803DF" w14:paraId="0EB44D47" w14:textId="77777777" w:rsidTr="00BF3BA6">
        <w:trPr>
          <w:trHeight w:val="300"/>
        </w:trPr>
        <w:tc>
          <w:tcPr>
            <w:tcW w:w="3358" w:type="dxa"/>
            <w:tcBorders>
              <w:top w:val="nil"/>
              <w:left w:val="single" w:sz="4" w:space="0" w:color="auto"/>
              <w:bottom w:val="single" w:sz="4" w:space="0" w:color="auto"/>
              <w:right w:val="single" w:sz="4" w:space="0" w:color="auto"/>
            </w:tcBorders>
            <w:shd w:val="clear" w:color="auto" w:fill="BFBFBF"/>
            <w:vAlign w:val="center"/>
          </w:tcPr>
          <w:p w14:paraId="5BF724C2" w14:textId="77777777" w:rsidR="0098677E" w:rsidRPr="006803DF" w:rsidRDefault="0098677E" w:rsidP="0098677E">
            <w:pPr>
              <w:rPr>
                <w:rFonts w:cs="Arial"/>
                <w:b/>
                <w:bCs/>
              </w:rPr>
            </w:pPr>
            <w:r w:rsidRPr="006803DF">
              <w:rPr>
                <w:rFonts w:cs="Arial"/>
                <w:b/>
                <w:bCs/>
              </w:rPr>
              <w:t>TOTAL FUNDING</w:t>
            </w:r>
          </w:p>
        </w:tc>
        <w:tc>
          <w:tcPr>
            <w:tcW w:w="1215" w:type="dxa"/>
            <w:tcBorders>
              <w:top w:val="single" w:sz="4" w:space="0" w:color="auto"/>
              <w:left w:val="nil"/>
              <w:bottom w:val="single" w:sz="4" w:space="0" w:color="auto"/>
              <w:right w:val="single" w:sz="4" w:space="0" w:color="auto"/>
            </w:tcBorders>
            <w:shd w:val="clear" w:color="auto" w:fill="auto"/>
            <w:noWrap/>
          </w:tcPr>
          <w:p w14:paraId="334A075C" w14:textId="77777777" w:rsidR="0098677E" w:rsidRPr="006803DF" w:rsidRDefault="0098677E" w:rsidP="0098677E">
            <w:pPr>
              <w:jc w:val="right"/>
              <w:rPr>
                <w:b/>
              </w:rPr>
            </w:pPr>
            <w:r w:rsidRPr="006803DF">
              <w:rPr>
                <w:b/>
              </w:rPr>
              <w:t>23</w:t>
            </w:r>
            <w:r>
              <w:rPr>
                <w:b/>
              </w:rPr>
              <w:t>5</w:t>
            </w:r>
            <w:r w:rsidRPr="006803DF">
              <w:rPr>
                <w:b/>
              </w:rPr>
              <w:t>,</w:t>
            </w:r>
            <w:r>
              <w:rPr>
                <w:b/>
              </w:rPr>
              <w:t>623</w:t>
            </w:r>
          </w:p>
          <w:p w14:paraId="3A0928F1" w14:textId="77777777" w:rsidR="0098677E" w:rsidRPr="006803DF" w:rsidRDefault="0098677E" w:rsidP="0098677E">
            <w:pPr>
              <w:jc w:val="right"/>
              <w:rPr>
                <w:b/>
              </w:rPr>
            </w:pPr>
          </w:p>
        </w:tc>
        <w:tc>
          <w:tcPr>
            <w:tcW w:w="1215" w:type="dxa"/>
            <w:tcBorders>
              <w:top w:val="single" w:sz="4" w:space="0" w:color="auto"/>
              <w:left w:val="nil"/>
              <w:bottom w:val="single" w:sz="4" w:space="0" w:color="auto"/>
              <w:right w:val="single" w:sz="4" w:space="0" w:color="auto"/>
            </w:tcBorders>
            <w:shd w:val="clear" w:color="auto" w:fill="auto"/>
            <w:noWrap/>
          </w:tcPr>
          <w:p w14:paraId="0C747B33" w14:textId="77777777" w:rsidR="0098677E" w:rsidRPr="006803DF" w:rsidRDefault="0098677E" w:rsidP="0098677E">
            <w:pPr>
              <w:jc w:val="right"/>
              <w:rPr>
                <w:b/>
              </w:rPr>
            </w:pPr>
            <w:r w:rsidRPr="006803DF">
              <w:rPr>
                <w:b/>
              </w:rPr>
              <w:t>1</w:t>
            </w:r>
            <w:r>
              <w:rPr>
                <w:b/>
              </w:rPr>
              <w:t>84</w:t>
            </w:r>
            <w:r w:rsidRPr="006803DF">
              <w:rPr>
                <w:b/>
              </w:rPr>
              <w:t>,</w:t>
            </w:r>
            <w:r>
              <w:rPr>
                <w:b/>
              </w:rPr>
              <w:t>420</w:t>
            </w:r>
          </w:p>
        </w:tc>
        <w:tc>
          <w:tcPr>
            <w:tcW w:w="1348" w:type="dxa"/>
            <w:tcBorders>
              <w:top w:val="single" w:sz="4" w:space="0" w:color="auto"/>
              <w:left w:val="nil"/>
              <w:bottom w:val="single" w:sz="4" w:space="0" w:color="auto"/>
              <w:right w:val="single" w:sz="4" w:space="0" w:color="auto"/>
            </w:tcBorders>
            <w:shd w:val="clear" w:color="auto" w:fill="auto"/>
            <w:noWrap/>
          </w:tcPr>
          <w:p w14:paraId="6BA6F83D" w14:textId="77777777" w:rsidR="0098677E" w:rsidRPr="006803DF" w:rsidRDefault="0098677E" w:rsidP="0098677E">
            <w:pPr>
              <w:jc w:val="right"/>
              <w:rPr>
                <w:b/>
              </w:rPr>
            </w:pPr>
            <w:r w:rsidRPr="006803DF">
              <w:rPr>
                <w:b/>
              </w:rPr>
              <w:t>12</w:t>
            </w:r>
            <w:r>
              <w:rPr>
                <w:b/>
              </w:rPr>
              <w:t>5</w:t>
            </w:r>
            <w:r w:rsidRPr="006803DF">
              <w:rPr>
                <w:b/>
              </w:rPr>
              <w:t>,</w:t>
            </w:r>
            <w:r>
              <w:rPr>
                <w:b/>
              </w:rPr>
              <w:t>318</w:t>
            </w:r>
          </w:p>
        </w:tc>
        <w:tc>
          <w:tcPr>
            <w:tcW w:w="1348" w:type="dxa"/>
            <w:tcBorders>
              <w:top w:val="single" w:sz="4" w:space="0" w:color="auto"/>
              <w:left w:val="nil"/>
              <w:bottom w:val="single" w:sz="4" w:space="0" w:color="auto"/>
              <w:right w:val="single" w:sz="4" w:space="0" w:color="auto"/>
            </w:tcBorders>
            <w:shd w:val="clear" w:color="auto" w:fill="auto"/>
            <w:noWrap/>
          </w:tcPr>
          <w:p w14:paraId="7F8E3C82" w14:textId="77777777" w:rsidR="0098677E" w:rsidRPr="006803DF" w:rsidRDefault="0098677E" w:rsidP="0098677E">
            <w:pPr>
              <w:jc w:val="right"/>
              <w:rPr>
                <w:b/>
              </w:rPr>
            </w:pPr>
            <w:r>
              <w:rPr>
                <w:b/>
              </w:rPr>
              <w:t>221,575</w:t>
            </w:r>
          </w:p>
        </w:tc>
      </w:tr>
    </w:tbl>
    <w:p w14:paraId="36054E9F" w14:textId="77777777" w:rsidR="0070539C" w:rsidRPr="006803DF" w:rsidRDefault="0070539C" w:rsidP="00575121">
      <w:pPr>
        <w:pStyle w:val="bParagraphtext"/>
        <w:numPr>
          <w:ilvl w:val="0"/>
          <w:numId w:val="0"/>
        </w:numPr>
      </w:pPr>
    </w:p>
    <w:p w14:paraId="04A5FB96" w14:textId="77777777" w:rsidR="00BF3BA6" w:rsidRPr="009E6C62" w:rsidRDefault="00BF3BA6" w:rsidP="00BF3BA6">
      <w:pPr>
        <w:pStyle w:val="ListParagraph"/>
        <w:numPr>
          <w:ilvl w:val="0"/>
          <w:numId w:val="0"/>
        </w:numPr>
        <w:tabs>
          <w:tab w:val="clear" w:pos="426"/>
        </w:tabs>
        <w:spacing w:after="0"/>
        <w:ind w:left="709" w:right="386"/>
        <w:rPr>
          <w:color w:val="auto"/>
        </w:rPr>
      </w:pPr>
    </w:p>
    <w:p w14:paraId="6EB16A74" w14:textId="77777777" w:rsidR="00042FD7" w:rsidRPr="009E6C62" w:rsidRDefault="00042FD7" w:rsidP="00904851">
      <w:pPr>
        <w:pStyle w:val="ListParagraph"/>
        <w:numPr>
          <w:ilvl w:val="0"/>
          <w:numId w:val="41"/>
        </w:numPr>
        <w:tabs>
          <w:tab w:val="clear" w:pos="426"/>
        </w:tabs>
        <w:spacing w:after="0"/>
        <w:ind w:left="426" w:right="386" w:hanging="426"/>
        <w:rPr>
          <w:color w:val="auto"/>
        </w:rPr>
      </w:pPr>
      <w:r w:rsidRPr="009E6C62">
        <w:rPr>
          <w:color w:val="auto"/>
        </w:rPr>
        <w:t>The main risks to the Capital Programme are set out in Appendix 8 and summarised below:</w:t>
      </w:r>
    </w:p>
    <w:p w14:paraId="274DD07D" w14:textId="77777777" w:rsidR="00042FD7" w:rsidRPr="009E6C62" w:rsidRDefault="00042FD7" w:rsidP="00042FD7">
      <w:pPr>
        <w:spacing w:after="0"/>
        <w:ind w:left="709" w:right="386" w:hanging="709"/>
        <w:rPr>
          <w:color w:val="auto"/>
          <w:lang w:eastAsia="en-US"/>
        </w:rPr>
      </w:pPr>
    </w:p>
    <w:p w14:paraId="6F44180F" w14:textId="77777777" w:rsidR="00042FD7" w:rsidRPr="009E6C62" w:rsidRDefault="00042FD7" w:rsidP="00EF7FF3">
      <w:pPr>
        <w:numPr>
          <w:ilvl w:val="0"/>
          <w:numId w:val="11"/>
        </w:numPr>
        <w:tabs>
          <w:tab w:val="clear" w:pos="1495"/>
        </w:tabs>
        <w:spacing w:after="0"/>
        <w:ind w:left="851" w:right="386" w:hanging="417"/>
        <w:rPr>
          <w:color w:val="auto"/>
          <w:lang w:eastAsia="en-US"/>
        </w:rPr>
      </w:pPr>
      <w:r w:rsidRPr="009E6C62">
        <w:rPr>
          <w:color w:val="auto"/>
          <w:lang w:eastAsia="en-US"/>
        </w:rPr>
        <w:t>Interest rate rises increase financing costs</w:t>
      </w:r>
    </w:p>
    <w:p w14:paraId="225BF0AF" w14:textId="77777777" w:rsidR="00042FD7" w:rsidRPr="009E6C62" w:rsidRDefault="00042FD7" w:rsidP="00EF7FF3">
      <w:pPr>
        <w:numPr>
          <w:ilvl w:val="0"/>
          <w:numId w:val="11"/>
        </w:numPr>
        <w:tabs>
          <w:tab w:val="clear" w:pos="1495"/>
        </w:tabs>
        <w:spacing w:after="0"/>
        <w:ind w:left="851" w:right="386" w:hanging="417"/>
        <w:rPr>
          <w:color w:val="auto"/>
          <w:lang w:eastAsia="en-US"/>
        </w:rPr>
      </w:pPr>
      <w:r w:rsidRPr="009E6C62">
        <w:rPr>
          <w:color w:val="auto"/>
          <w:lang w:eastAsia="en-US"/>
        </w:rPr>
        <w:t>Right to buy disposals as detailed in the assumptions are not as forecast causing a shortfall in funding of schemes</w:t>
      </w:r>
    </w:p>
    <w:p w14:paraId="3C2D3F84" w14:textId="77777777" w:rsidR="00042FD7" w:rsidRPr="009E6C62" w:rsidRDefault="00042FD7" w:rsidP="00EF7FF3">
      <w:pPr>
        <w:numPr>
          <w:ilvl w:val="0"/>
          <w:numId w:val="11"/>
        </w:numPr>
        <w:tabs>
          <w:tab w:val="clear" w:pos="1495"/>
        </w:tabs>
        <w:spacing w:after="0"/>
        <w:ind w:left="851" w:right="386" w:hanging="417"/>
        <w:rPr>
          <w:color w:val="auto"/>
          <w:lang w:eastAsia="en-US"/>
        </w:rPr>
      </w:pPr>
      <w:r w:rsidRPr="009E6C62">
        <w:rPr>
          <w:color w:val="auto"/>
          <w:lang w:eastAsia="en-US"/>
        </w:rPr>
        <w:t xml:space="preserve">Delays in construction of new homes by OCHL </w:t>
      </w:r>
    </w:p>
    <w:p w14:paraId="2EEA91E8" w14:textId="77777777" w:rsidR="00042FD7" w:rsidRPr="009E6C62" w:rsidRDefault="00042FD7" w:rsidP="00EF7FF3">
      <w:pPr>
        <w:numPr>
          <w:ilvl w:val="0"/>
          <w:numId w:val="11"/>
        </w:numPr>
        <w:tabs>
          <w:tab w:val="clear" w:pos="1495"/>
          <w:tab w:val="num" w:pos="630"/>
        </w:tabs>
        <w:spacing w:after="0"/>
        <w:ind w:left="851" w:right="386" w:hanging="417"/>
        <w:jc w:val="both"/>
        <w:rPr>
          <w:color w:val="auto"/>
          <w:lang w:eastAsia="en-US"/>
        </w:rPr>
      </w:pPr>
      <w:r w:rsidRPr="009E6C62">
        <w:rPr>
          <w:color w:val="auto"/>
          <w:lang w:eastAsia="en-US"/>
        </w:rPr>
        <w:t>Slippage in Capital Programme and impact on delivery of priorities</w:t>
      </w:r>
    </w:p>
    <w:p w14:paraId="77EC3AC8" w14:textId="4AC2E52E" w:rsidR="00974774" w:rsidRPr="009E6C62" w:rsidRDefault="00042FD7" w:rsidP="00EF7FF3">
      <w:pPr>
        <w:pStyle w:val="bParagraphtext"/>
        <w:numPr>
          <w:ilvl w:val="0"/>
          <w:numId w:val="11"/>
        </w:numPr>
        <w:tabs>
          <w:tab w:val="clear" w:pos="1495"/>
          <w:tab w:val="num" w:pos="851"/>
        </w:tabs>
        <w:ind w:left="1568" w:hanging="1120"/>
      </w:pPr>
      <w:r w:rsidRPr="009E6C62">
        <w:rPr>
          <w:color w:val="auto"/>
          <w:lang w:eastAsia="en-US"/>
        </w:rPr>
        <w:t>Robustness of estimates</w:t>
      </w:r>
      <w:r w:rsidR="00EF7FF3">
        <w:rPr>
          <w:color w:val="auto"/>
          <w:lang w:eastAsia="en-US"/>
        </w:rPr>
        <w:t>.</w:t>
      </w:r>
    </w:p>
    <w:p w14:paraId="3C981221" w14:textId="77777777" w:rsidR="006702CA" w:rsidRPr="009E6C62" w:rsidRDefault="006702CA" w:rsidP="00A02648">
      <w:pPr>
        <w:pStyle w:val="Heading1"/>
      </w:pPr>
      <w:r w:rsidRPr="009E6C62">
        <w:t>Housing Company</w:t>
      </w:r>
    </w:p>
    <w:p w14:paraId="30FC3F0D" w14:textId="1B8C2B3B" w:rsidR="00A77BAE" w:rsidRPr="009E6C62" w:rsidRDefault="009E6C62" w:rsidP="00904851">
      <w:pPr>
        <w:pStyle w:val="bParagraphtext"/>
        <w:numPr>
          <w:ilvl w:val="0"/>
          <w:numId w:val="41"/>
        </w:numPr>
        <w:ind w:left="426" w:hanging="426"/>
        <w:rPr>
          <w:rFonts w:cs="Arial"/>
        </w:rPr>
      </w:pPr>
      <w:r w:rsidRPr="009E6C62">
        <w:t xml:space="preserve">There are no changes to the forecast financial returns from OX Place to the Council over the 4 year MTFS period </w:t>
      </w:r>
      <w:r w:rsidR="002B1AA2">
        <w:t xml:space="preserve">since the Consultation Budget </w:t>
      </w:r>
      <w:r w:rsidR="00EF7FF3">
        <w:rPr>
          <w:rFonts w:cs="Arial"/>
        </w:rPr>
        <w:t>as follows</w:t>
      </w:r>
      <w:r w:rsidR="00A77BAE" w:rsidRPr="009E6C62">
        <w:rPr>
          <w:rFonts w:cs="Arial"/>
        </w:rPr>
        <w:t>:</w:t>
      </w:r>
    </w:p>
    <w:p w14:paraId="580B9F00" w14:textId="77777777" w:rsidR="009E6C62" w:rsidRPr="00B54839" w:rsidRDefault="009E6C62" w:rsidP="009E6C62">
      <w:pPr>
        <w:pStyle w:val="bParagraphtext"/>
        <w:numPr>
          <w:ilvl w:val="0"/>
          <w:numId w:val="0"/>
        </w:numPr>
        <w:ind w:left="1080"/>
        <w:rPr>
          <w:rFonts w:cs="Arial"/>
          <w:highlight w:val="yellow"/>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318"/>
        <w:gridCol w:w="1322"/>
        <w:gridCol w:w="1331"/>
        <w:gridCol w:w="1207"/>
      </w:tblGrid>
      <w:tr w:rsidR="009E6C62" w:rsidRPr="009E6C62" w14:paraId="31454B1A" w14:textId="77777777" w:rsidTr="009E6C62">
        <w:tc>
          <w:tcPr>
            <w:tcW w:w="8328" w:type="dxa"/>
            <w:gridSpan w:val="5"/>
            <w:shd w:val="clear" w:color="auto" w:fill="auto"/>
          </w:tcPr>
          <w:p w14:paraId="50DFB591" w14:textId="77777777" w:rsidR="009E6C62" w:rsidRPr="009E6C62" w:rsidRDefault="009E6C62" w:rsidP="0003318D">
            <w:pPr>
              <w:autoSpaceDE w:val="0"/>
              <w:autoSpaceDN w:val="0"/>
              <w:adjustRightInd w:val="0"/>
              <w:spacing w:after="0"/>
              <w:ind w:right="123"/>
              <w:jc w:val="right"/>
              <w:rPr>
                <w:rFonts w:cs="Arial"/>
                <w:b/>
                <w:lang w:val="en-US" w:eastAsia="en-US"/>
              </w:rPr>
            </w:pPr>
            <w:r w:rsidRPr="009E6C62">
              <w:rPr>
                <w:rFonts w:cs="Arial"/>
                <w:b/>
                <w:lang w:val="en-US" w:eastAsia="en-US"/>
              </w:rPr>
              <w:t xml:space="preserve">Table </w:t>
            </w:r>
            <w:r w:rsidR="0003318D">
              <w:rPr>
                <w:rFonts w:cs="Arial"/>
                <w:b/>
                <w:lang w:val="en-US" w:eastAsia="en-US"/>
              </w:rPr>
              <w:t>8</w:t>
            </w:r>
            <w:r w:rsidRPr="009E6C62">
              <w:rPr>
                <w:rFonts w:cs="Arial"/>
                <w:b/>
                <w:lang w:val="en-US" w:eastAsia="en-US"/>
              </w:rPr>
              <w:t xml:space="preserve"> : Revenue Returns to Council from OCHL 2023/24 to 2026/27</w:t>
            </w:r>
          </w:p>
        </w:tc>
      </w:tr>
      <w:tr w:rsidR="009E6C62" w:rsidRPr="009E6C62" w14:paraId="1A634CBF" w14:textId="77777777" w:rsidTr="009E6C62">
        <w:tc>
          <w:tcPr>
            <w:tcW w:w="3150" w:type="dxa"/>
            <w:shd w:val="clear" w:color="auto" w:fill="auto"/>
          </w:tcPr>
          <w:p w14:paraId="4A5EEC9A" w14:textId="77777777" w:rsidR="009E6C62" w:rsidRPr="009E6C62" w:rsidRDefault="009E6C62" w:rsidP="009E6C62">
            <w:pPr>
              <w:autoSpaceDE w:val="0"/>
              <w:autoSpaceDN w:val="0"/>
              <w:adjustRightInd w:val="0"/>
              <w:spacing w:after="0"/>
              <w:ind w:right="386"/>
              <w:jc w:val="right"/>
              <w:rPr>
                <w:rFonts w:cs="Arial"/>
                <w:lang w:val="en-US" w:eastAsia="en-US"/>
              </w:rPr>
            </w:pPr>
          </w:p>
        </w:tc>
        <w:tc>
          <w:tcPr>
            <w:tcW w:w="1318" w:type="dxa"/>
            <w:shd w:val="clear" w:color="auto" w:fill="auto"/>
          </w:tcPr>
          <w:p w14:paraId="36A7A6B7" w14:textId="77777777" w:rsidR="009E6C62" w:rsidRPr="009E6C62" w:rsidRDefault="009E6C62" w:rsidP="009E6C62">
            <w:pPr>
              <w:autoSpaceDE w:val="0"/>
              <w:autoSpaceDN w:val="0"/>
              <w:adjustRightInd w:val="0"/>
              <w:spacing w:after="0"/>
              <w:jc w:val="right"/>
              <w:rPr>
                <w:rFonts w:cs="Arial"/>
                <w:b/>
                <w:lang w:val="en-US" w:eastAsia="en-US"/>
              </w:rPr>
            </w:pPr>
            <w:r w:rsidRPr="009E6C62">
              <w:rPr>
                <w:rFonts w:cs="Arial"/>
                <w:b/>
                <w:lang w:val="en-US" w:eastAsia="en-US"/>
              </w:rPr>
              <w:t>2023/24</w:t>
            </w:r>
          </w:p>
        </w:tc>
        <w:tc>
          <w:tcPr>
            <w:tcW w:w="1322" w:type="dxa"/>
            <w:shd w:val="clear" w:color="auto" w:fill="auto"/>
          </w:tcPr>
          <w:p w14:paraId="58B37AFE" w14:textId="77777777" w:rsidR="009E6C62" w:rsidRPr="009E6C62" w:rsidRDefault="009E6C62" w:rsidP="009E6C62">
            <w:pPr>
              <w:autoSpaceDE w:val="0"/>
              <w:autoSpaceDN w:val="0"/>
              <w:adjustRightInd w:val="0"/>
              <w:spacing w:after="0"/>
              <w:ind w:right="123"/>
              <w:jc w:val="right"/>
              <w:rPr>
                <w:rFonts w:cs="Arial"/>
                <w:b/>
                <w:lang w:val="en-US" w:eastAsia="en-US"/>
              </w:rPr>
            </w:pPr>
            <w:r w:rsidRPr="009E6C62">
              <w:rPr>
                <w:rFonts w:cs="Arial"/>
                <w:b/>
                <w:lang w:val="en-US" w:eastAsia="en-US"/>
              </w:rPr>
              <w:t>2024/25</w:t>
            </w:r>
          </w:p>
        </w:tc>
        <w:tc>
          <w:tcPr>
            <w:tcW w:w="1331" w:type="dxa"/>
            <w:shd w:val="clear" w:color="auto" w:fill="auto"/>
          </w:tcPr>
          <w:p w14:paraId="78824B2B" w14:textId="77777777" w:rsidR="009E6C62" w:rsidRPr="009E6C62" w:rsidRDefault="009E6C62" w:rsidP="009E6C62">
            <w:pPr>
              <w:autoSpaceDE w:val="0"/>
              <w:autoSpaceDN w:val="0"/>
              <w:adjustRightInd w:val="0"/>
              <w:spacing w:after="0"/>
              <w:ind w:right="123"/>
              <w:jc w:val="right"/>
              <w:rPr>
                <w:rFonts w:cs="Arial"/>
                <w:b/>
                <w:lang w:val="en-US" w:eastAsia="en-US"/>
              </w:rPr>
            </w:pPr>
            <w:r w:rsidRPr="009E6C62">
              <w:rPr>
                <w:rFonts w:cs="Arial"/>
                <w:b/>
                <w:lang w:val="en-US" w:eastAsia="en-US"/>
              </w:rPr>
              <w:t>2025/26</w:t>
            </w:r>
          </w:p>
        </w:tc>
        <w:tc>
          <w:tcPr>
            <w:tcW w:w="1207" w:type="dxa"/>
            <w:shd w:val="clear" w:color="auto" w:fill="auto"/>
          </w:tcPr>
          <w:p w14:paraId="398ABC37" w14:textId="77777777" w:rsidR="009E6C62" w:rsidRPr="009E6C62" w:rsidRDefault="009E6C62" w:rsidP="009E6C62">
            <w:pPr>
              <w:autoSpaceDE w:val="0"/>
              <w:autoSpaceDN w:val="0"/>
              <w:adjustRightInd w:val="0"/>
              <w:spacing w:after="0"/>
              <w:ind w:right="123"/>
              <w:jc w:val="right"/>
              <w:rPr>
                <w:rFonts w:cs="Arial"/>
                <w:b/>
                <w:lang w:val="en-US" w:eastAsia="en-US"/>
              </w:rPr>
            </w:pPr>
            <w:r w:rsidRPr="009E6C62">
              <w:rPr>
                <w:rFonts w:cs="Arial"/>
                <w:b/>
                <w:lang w:val="en-US" w:eastAsia="en-US"/>
              </w:rPr>
              <w:t>2026/27</w:t>
            </w:r>
          </w:p>
        </w:tc>
      </w:tr>
      <w:tr w:rsidR="009E6C62" w:rsidRPr="009E6C62" w14:paraId="23118863" w14:textId="77777777" w:rsidTr="009E6C62">
        <w:tc>
          <w:tcPr>
            <w:tcW w:w="3150" w:type="dxa"/>
            <w:shd w:val="clear" w:color="auto" w:fill="auto"/>
          </w:tcPr>
          <w:p w14:paraId="6E83E8CA" w14:textId="77777777" w:rsidR="009E6C62" w:rsidRPr="009E6C62" w:rsidRDefault="009E6C62" w:rsidP="009E6C62">
            <w:pPr>
              <w:autoSpaceDE w:val="0"/>
              <w:autoSpaceDN w:val="0"/>
              <w:adjustRightInd w:val="0"/>
              <w:spacing w:after="0"/>
              <w:ind w:right="386"/>
              <w:jc w:val="right"/>
              <w:rPr>
                <w:rFonts w:cs="Arial"/>
                <w:lang w:val="en-US" w:eastAsia="en-US"/>
              </w:rPr>
            </w:pPr>
          </w:p>
        </w:tc>
        <w:tc>
          <w:tcPr>
            <w:tcW w:w="1318" w:type="dxa"/>
            <w:shd w:val="clear" w:color="auto" w:fill="auto"/>
          </w:tcPr>
          <w:p w14:paraId="5586906E" w14:textId="77777777" w:rsidR="009E6C62" w:rsidRPr="009E6C62" w:rsidRDefault="009E6C62" w:rsidP="009E6C62">
            <w:pPr>
              <w:autoSpaceDE w:val="0"/>
              <w:autoSpaceDN w:val="0"/>
              <w:adjustRightInd w:val="0"/>
              <w:spacing w:after="0"/>
              <w:ind w:right="123"/>
              <w:jc w:val="right"/>
              <w:rPr>
                <w:rFonts w:cs="Arial"/>
                <w:b/>
                <w:lang w:val="en-US" w:eastAsia="en-US"/>
              </w:rPr>
            </w:pPr>
            <w:r w:rsidRPr="009E6C62">
              <w:rPr>
                <w:rFonts w:cs="Arial"/>
                <w:b/>
                <w:lang w:val="en-US" w:eastAsia="en-US"/>
              </w:rPr>
              <w:t>£000’s</w:t>
            </w:r>
          </w:p>
        </w:tc>
        <w:tc>
          <w:tcPr>
            <w:tcW w:w="1322" w:type="dxa"/>
            <w:shd w:val="clear" w:color="auto" w:fill="auto"/>
          </w:tcPr>
          <w:p w14:paraId="265FC054" w14:textId="77777777" w:rsidR="009E6C62" w:rsidRPr="009E6C62" w:rsidRDefault="009E6C62" w:rsidP="009E6C62">
            <w:pPr>
              <w:autoSpaceDE w:val="0"/>
              <w:autoSpaceDN w:val="0"/>
              <w:adjustRightInd w:val="0"/>
              <w:spacing w:after="0"/>
              <w:ind w:right="123"/>
              <w:jc w:val="right"/>
              <w:rPr>
                <w:rFonts w:cs="Arial"/>
                <w:b/>
                <w:lang w:val="en-US" w:eastAsia="en-US"/>
              </w:rPr>
            </w:pPr>
            <w:r w:rsidRPr="009E6C62">
              <w:rPr>
                <w:rFonts w:cs="Arial"/>
                <w:b/>
                <w:lang w:val="en-US" w:eastAsia="en-US"/>
              </w:rPr>
              <w:t>£000’s</w:t>
            </w:r>
          </w:p>
        </w:tc>
        <w:tc>
          <w:tcPr>
            <w:tcW w:w="1331" w:type="dxa"/>
            <w:shd w:val="clear" w:color="auto" w:fill="auto"/>
          </w:tcPr>
          <w:p w14:paraId="42620D5D" w14:textId="77777777" w:rsidR="009E6C62" w:rsidRPr="009E6C62" w:rsidRDefault="009E6C62" w:rsidP="009E6C62">
            <w:pPr>
              <w:autoSpaceDE w:val="0"/>
              <w:autoSpaceDN w:val="0"/>
              <w:adjustRightInd w:val="0"/>
              <w:spacing w:after="0"/>
              <w:ind w:right="123"/>
              <w:jc w:val="right"/>
              <w:rPr>
                <w:rFonts w:cs="Arial"/>
                <w:b/>
                <w:lang w:val="en-US" w:eastAsia="en-US"/>
              </w:rPr>
            </w:pPr>
            <w:r w:rsidRPr="009E6C62">
              <w:rPr>
                <w:rFonts w:cs="Arial"/>
                <w:b/>
                <w:lang w:val="en-US" w:eastAsia="en-US"/>
              </w:rPr>
              <w:t>£000’s</w:t>
            </w:r>
          </w:p>
        </w:tc>
        <w:tc>
          <w:tcPr>
            <w:tcW w:w="1207" w:type="dxa"/>
            <w:shd w:val="clear" w:color="auto" w:fill="auto"/>
          </w:tcPr>
          <w:p w14:paraId="46A78120" w14:textId="77777777" w:rsidR="009E6C62" w:rsidRPr="009E6C62" w:rsidRDefault="009E6C62" w:rsidP="009E6C62">
            <w:pPr>
              <w:autoSpaceDE w:val="0"/>
              <w:autoSpaceDN w:val="0"/>
              <w:adjustRightInd w:val="0"/>
              <w:spacing w:after="0"/>
              <w:ind w:right="123"/>
              <w:jc w:val="right"/>
              <w:rPr>
                <w:rFonts w:cs="Arial"/>
                <w:b/>
                <w:lang w:val="en-US" w:eastAsia="en-US"/>
              </w:rPr>
            </w:pPr>
            <w:r w:rsidRPr="009E6C62">
              <w:rPr>
                <w:rFonts w:cs="Arial"/>
                <w:b/>
                <w:lang w:val="en-US" w:eastAsia="en-US"/>
              </w:rPr>
              <w:t>£000’s</w:t>
            </w:r>
          </w:p>
        </w:tc>
      </w:tr>
      <w:tr w:rsidR="009E6C62" w:rsidRPr="009E6C62" w14:paraId="580A2BF5" w14:textId="77777777" w:rsidTr="009E6C62">
        <w:tc>
          <w:tcPr>
            <w:tcW w:w="3150" w:type="dxa"/>
            <w:shd w:val="clear" w:color="auto" w:fill="auto"/>
          </w:tcPr>
          <w:p w14:paraId="72A9F6AF" w14:textId="77777777" w:rsidR="009E6C62" w:rsidRPr="009E6C62" w:rsidRDefault="009E6C62" w:rsidP="009E6C62">
            <w:pPr>
              <w:autoSpaceDE w:val="0"/>
              <w:autoSpaceDN w:val="0"/>
              <w:adjustRightInd w:val="0"/>
              <w:spacing w:after="0"/>
              <w:ind w:right="386"/>
              <w:jc w:val="right"/>
              <w:rPr>
                <w:rFonts w:cs="Arial"/>
                <w:b/>
                <w:lang w:val="en-US" w:eastAsia="en-US"/>
              </w:rPr>
            </w:pPr>
            <w:r w:rsidRPr="009E6C62">
              <w:rPr>
                <w:rFonts w:cs="Arial"/>
                <w:b/>
                <w:lang w:val="en-US" w:eastAsia="en-US"/>
              </w:rPr>
              <w:t xml:space="preserve">Loans outstanding at year end to Company </w:t>
            </w:r>
          </w:p>
        </w:tc>
        <w:tc>
          <w:tcPr>
            <w:tcW w:w="1318" w:type="dxa"/>
            <w:shd w:val="clear" w:color="auto" w:fill="auto"/>
          </w:tcPr>
          <w:p w14:paraId="7D6984AB"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82,000</w:t>
            </w:r>
          </w:p>
        </w:tc>
        <w:tc>
          <w:tcPr>
            <w:tcW w:w="1322" w:type="dxa"/>
            <w:shd w:val="clear" w:color="auto" w:fill="auto"/>
          </w:tcPr>
          <w:p w14:paraId="54137FF1" w14:textId="77777777" w:rsidR="009E6C62" w:rsidRPr="009E6C62" w:rsidRDefault="009E6C62" w:rsidP="009E6C62">
            <w:pPr>
              <w:autoSpaceDE w:val="0"/>
              <w:autoSpaceDN w:val="0"/>
              <w:adjustRightInd w:val="0"/>
              <w:spacing w:after="0"/>
              <w:ind w:right="34"/>
              <w:jc w:val="right"/>
              <w:rPr>
                <w:rFonts w:cs="Arial"/>
                <w:lang w:val="en-US" w:eastAsia="en-US"/>
              </w:rPr>
            </w:pPr>
            <w:r w:rsidRPr="009E6C62">
              <w:rPr>
                <w:rFonts w:cs="Arial"/>
                <w:lang w:val="en-US" w:eastAsia="en-US"/>
              </w:rPr>
              <w:t>81,000</w:t>
            </w:r>
          </w:p>
        </w:tc>
        <w:tc>
          <w:tcPr>
            <w:tcW w:w="1331" w:type="dxa"/>
            <w:shd w:val="clear" w:color="auto" w:fill="auto"/>
          </w:tcPr>
          <w:p w14:paraId="0B202914"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112,000</w:t>
            </w:r>
          </w:p>
        </w:tc>
        <w:tc>
          <w:tcPr>
            <w:tcW w:w="1207" w:type="dxa"/>
            <w:shd w:val="clear" w:color="auto" w:fill="auto"/>
          </w:tcPr>
          <w:p w14:paraId="6BD4A6A6"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121,000</w:t>
            </w:r>
          </w:p>
        </w:tc>
      </w:tr>
      <w:tr w:rsidR="009E6C62" w:rsidRPr="009E6C62" w14:paraId="3BCFB06A" w14:textId="77777777" w:rsidTr="009E6C62">
        <w:tc>
          <w:tcPr>
            <w:tcW w:w="3150" w:type="dxa"/>
            <w:shd w:val="clear" w:color="auto" w:fill="auto"/>
          </w:tcPr>
          <w:p w14:paraId="19454760" w14:textId="77777777" w:rsidR="009E6C62" w:rsidRPr="009E6C62" w:rsidRDefault="009E6C62" w:rsidP="009E6C62">
            <w:pPr>
              <w:autoSpaceDE w:val="0"/>
              <w:autoSpaceDN w:val="0"/>
              <w:adjustRightInd w:val="0"/>
              <w:spacing w:after="0"/>
              <w:ind w:right="386"/>
              <w:jc w:val="right"/>
              <w:rPr>
                <w:rFonts w:cs="Arial"/>
                <w:lang w:val="en-US" w:eastAsia="en-US"/>
              </w:rPr>
            </w:pPr>
            <w:r w:rsidRPr="009E6C62">
              <w:rPr>
                <w:rFonts w:cs="Arial"/>
                <w:b/>
                <w:lang w:val="en-US" w:eastAsia="en-US"/>
              </w:rPr>
              <w:t>Revenue Returns to Council</w:t>
            </w:r>
          </w:p>
        </w:tc>
        <w:tc>
          <w:tcPr>
            <w:tcW w:w="1318" w:type="dxa"/>
            <w:shd w:val="clear" w:color="auto" w:fill="auto"/>
          </w:tcPr>
          <w:p w14:paraId="11CFDA89" w14:textId="77777777" w:rsidR="009E6C62" w:rsidRPr="009E6C62" w:rsidRDefault="009E6C62" w:rsidP="009E6C62">
            <w:pPr>
              <w:autoSpaceDE w:val="0"/>
              <w:autoSpaceDN w:val="0"/>
              <w:adjustRightInd w:val="0"/>
              <w:spacing w:after="0"/>
              <w:jc w:val="right"/>
              <w:rPr>
                <w:rFonts w:cs="Arial"/>
                <w:lang w:val="en-US" w:eastAsia="en-US"/>
              </w:rPr>
            </w:pPr>
          </w:p>
        </w:tc>
        <w:tc>
          <w:tcPr>
            <w:tcW w:w="1322" w:type="dxa"/>
            <w:shd w:val="clear" w:color="auto" w:fill="auto"/>
          </w:tcPr>
          <w:p w14:paraId="6DFF7722" w14:textId="77777777" w:rsidR="009E6C62" w:rsidRPr="009E6C62" w:rsidRDefault="009E6C62" w:rsidP="009E6C62">
            <w:pPr>
              <w:autoSpaceDE w:val="0"/>
              <w:autoSpaceDN w:val="0"/>
              <w:adjustRightInd w:val="0"/>
              <w:spacing w:after="0"/>
              <w:ind w:right="34"/>
              <w:jc w:val="right"/>
              <w:rPr>
                <w:rFonts w:cs="Arial"/>
                <w:lang w:val="en-US" w:eastAsia="en-US"/>
              </w:rPr>
            </w:pPr>
          </w:p>
        </w:tc>
        <w:tc>
          <w:tcPr>
            <w:tcW w:w="1331" w:type="dxa"/>
            <w:shd w:val="clear" w:color="auto" w:fill="auto"/>
          </w:tcPr>
          <w:p w14:paraId="7C8A4A7C" w14:textId="77777777" w:rsidR="009E6C62" w:rsidRPr="009E6C62" w:rsidRDefault="009E6C62" w:rsidP="009E6C62">
            <w:pPr>
              <w:autoSpaceDE w:val="0"/>
              <w:autoSpaceDN w:val="0"/>
              <w:adjustRightInd w:val="0"/>
              <w:spacing w:after="0"/>
              <w:jc w:val="right"/>
              <w:rPr>
                <w:rFonts w:cs="Arial"/>
                <w:lang w:val="en-US" w:eastAsia="en-US"/>
              </w:rPr>
            </w:pPr>
          </w:p>
        </w:tc>
        <w:tc>
          <w:tcPr>
            <w:tcW w:w="1207" w:type="dxa"/>
            <w:shd w:val="clear" w:color="auto" w:fill="auto"/>
          </w:tcPr>
          <w:p w14:paraId="6058700E" w14:textId="77777777" w:rsidR="009E6C62" w:rsidRPr="009E6C62" w:rsidRDefault="009E6C62" w:rsidP="009E6C62">
            <w:pPr>
              <w:autoSpaceDE w:val="0"/>
              <w:autoSpaceDN w:val="0"/>
              <w:adjustRightInd w:val="0"/>
              <w:spacing w:after="0"/>
              <w:jc w:val="right"/>
              <w:rPr>
                <w:rFonts w:cs="Arial"/>
                <w:lang w:val="en-US" w:eastAsia="en-US"/>
              </w:rPr>
            </w:pPr>
          </w:p>
        </w:tc>
      </w:tr>
      <w:tr w:rsidR="009E6C62" w:rsidRPr="009E6C62" w14:paraId="43357D10" w14:textId="77777777" w:rsidTr="009E6C62">
        <w:tc>
          <w:tcPr>
            <w:tcW w:w="3150" w:type="dxa"/>
            <w:shd w:val="clear" w:color="auto" w:fill="auto"/>
          </w:tcPr>
          <w:p w14:paraId="29AF987E" w14:textId="77777777" w:rsidR="009E6C62" w:rsidRPr="009E6C62" w:rsidRDefault="009E6C62" w:rsidP="009E6C62">
            <w:pPr>
              <w:autoSpaceDE w:val="0"/>
              <w:autoSpaceDN w:val="0"/>
              <w:adjustRightInd w:val="0"/>
              <w:spacing w:after="0"/>
              <w:ind w:right="386"/>
              <w:jc w:val="right"/>
              <w:rPr>
                <w:rFonts w:cs="Arial"/>
                <w:b/>
                <w:lang w:val="en-US" w:eastAsia="en-US"/>
              </w:rPr>
            </w:pPr>
            <w:r w:rsidRPr="009E6C62">
              <w:rPr>
                <w:rFonts w:cs="Arial"/>
                <w:b/>
                <w:lang w:val="en-US" w:eastAsia="en-US"/>
              </w:rPr>
              <w:t xml:space="preserve">Gross Interest </w:t>
            </w:r>
          </w:p>
        </w:tc>
        <w:tc>
          <w:tcPr>
            <w:tcW w:w="1318" w:type="dxa"/>
            <w:shd w:val="clear" w:color="auto" w:fill="auto"/>
          </w:tcPr>
          <w:p w14:paraId="5079E646"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3,500</w:t>
            </w:r>
          </w:p>
        </w:tc>
        <w:tc>
          <w:tcPr>
            <w:tcW w:w="1322" w:type="dxa"/>
            <w:shd w:val="clear" w:color="auto" w:fill="auto"/>
          </w:tcPr>
          <w:p w14:paraId="6F83F6B9" w14:textId="77777777" w:rsidR="009E6C62" w:rsidRPr="009E6C62" w:rsidRDefault="009E6C62" w:rsidP="009E6C62">
            <w:pPr>
              <w:autoSpaceDE w:val="0"/>
              <w:autoSpaceDN w:val="0"/>
              <w:adjustRightInd w:val="0"/>
              <w:spacing w:after="0"/>
              <w:ind w:right="34"/>
              <w:jc w:val="right"/>
              <w:rPr>
                <w:rFonts w:cs="Arial"/>
                <w:lang w:val="en-US" w:eastAsia="en-US"/>
              </w:rPr>
            </w:pPr>
            <w:r w:rsidRPr="009E6C62">
              <w:rPr>
                <w:rFonts w:cs="Arial"/>
                <w:lang w:val="en-US" w:eastAsia="en-US"/>
              </w:rPr>
              <w:t>5,100</w:t>
            </w:r>
          </w:p>
        </w:tc>
        <w:tc>
          <w:tcPr>
            <w:tcW w:w="1331" w:type="dxa"/>
            <w:shd w:val="clear" w:color="auto" w:fill="auto"/>
          </w:tcPr>
          <w:p w14:paraId="349D1B9B"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6,500</w:t>
            </w:r>
          </w:p>
        </w:tc>
        <w:tc>
          <w:tcPr>
            <w:tcW w:w="1207" w:type="dxa"/>
            <w:shd w:val="clear" w:color="auto" w:fill="auto"/>
          </w:tcPr>
          <w:p w14:paraId="0A38E1A7"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8,300</w:t>
            </w:r>
          </w:p>
        </w:tc>
      </w:tr>
      <w:tr w:rsidR="009E6C62" w:rsidRPr="009E6C62" w14:paraId="0A7A0724" w14:textId="77777777" w:rsidTr="009E6C62">
        <w:tc>
          <w:tcPr>
            <w:tcW w:w="3150" w:type="dxa"/>
            <w:shd w:val="clear" w:color="auto" w:fill="auto"/>
          </w:tcPr>
          <w:p w14:paraId="760BADE5" w14:textId="77777777" w:rsidR="009E6C62" w:rsidRPr="009E6C62" w:rsidRDefault="009E6C62" w:rsidP="009E6C62">
            <w:pPr>
              <w:autoSpaceDE w:val="0"/>
              <w:autoSpaceDN w:val="0"/>
              <w:adjustRightInd w:val="0"/>
              <w:spacing w:after="0"/>
              <w:ind w:right="386"/>
              <w:jc w:val="right"/>
              <w:rPr>
                <w:rFonts w:cs="Arial"/>
                <w:b/>
                <w:lang w:val="en-US" w:eastAsia="en-US"/>
              </w:rPr>
            </w:pPr>
            <w:r w:rsidRPr="009E6C62">
              <w:rPr>
                <w:rFonts w:cs="Arial"/>
                <w:b/>
                <w:lang w:val="en-US" w:eastAsia="en-US"/>
              </w:rPr>
              <w:t>Dividends</w:t>
            </w:r>
          </w:p>
        </w:tc>
        <w:tc>
          <w:tcPr>
            <w:tcW w:w="1318" w:type="dxa"/>
            <w:shd w:val="clear" w:color="auto" w:fill="auto"/>
          </w:tcPr>
          <w:p w14:paraId="391B174A"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2,000</w:t>
            </w:r>
          </w:p>
        </w:tc>
        <w:tc>
          <w:tcPr>
            <w:tcW w:w="1322" w:type="dxa"/>
            <w:shd w:val="clear" w:color="auto" w:fill="auto"/>
          </w:tcPr>
          <w:p w14:paraId="5F593757" w14:textId="77777777" w:rsidR="009E6C62" w:rsidRPr="009E6C62" w:rsidRDefault="009E6C62" w:rsidP="009E6C62">
            <w:pPr>
              <w:autoSpaceDE w:val="0"/>
              <w:autoSpaceDN w:val="0"/>
              <w:adjustRightInd w:val="0"/>
              <w:spacing w:after="0"/>
              <w:ind w:right="34"/>
              <w:jc w:val="right"/>
              <w:rPr>
                <w:rFonts w:cs="Arial"/>
                <w:lang w:val="en-US" w:eastAsia="en-US"/>
              </w:rPr>
            </w:pPr>
            <w:r w:rsidRPr="009E6C62">
              <w:rPr>
                <w:rFonts w:cs="Arial"/>
                <w:lang w:val="en-US" w:eastAsia="en-US"/>
              </w:rPr>
              <w:t>5,000</w:t>
            </w:r>
          </w:p>
        </w:tc>
        <w:tc>
          <w:tcPr>
            <w:tcW w:w="1331" w:type="dxa"/>
            <w:shd w:val="clear" w:color="auto" w:fill="auto"/>
          </w:tcPr>
          <w:p w14:paraId="7CACED0D"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4,889</w:t>
            </w:r>
          </w:p>
        </w:tc>
        <w:tc>
          <w:tcPr>
            <w:tcW w:w="1207" w:type="dxa"/>
            <w:shd w:val="clear" w:color="auto" w:fill="auto"/>
          </w:tcPr>
          <w:p w14:paraId="110F13DF"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1,500</w:t>
            </w:r>
          </w:p>
        </w:tc>
      </w:tr>
      <w:tr w:rsidR="009E6C62" w:rsidRPr="009E6C62" w14:paraId="5FECA4D9" w14:textId="77777777" w:rsidTr="009E6C62">
        <w:tc>
          <w:tcPr>
            <w:tcW w:w="3150" w:type="dxa"/>
            <w:shd w:val="clear" w:color="auto" w:fill="auto"/>
          </w:tcPr>
          <w:p w14:paraId="06709B3E" w14:textId="77777777" w:rsidR="009E6C62" w:rsidRPr="009E6C62" w:rsidRDefault="009E6C62" w:rsidP="009E6C62">
            <w:pPr>
              <w:autoSpaceDE w:val="0"/>
              <w:autoSpaceDN w:val="0"/>
              <w:adjustRightInd w:val="0"/>
              <w:spacing w:after="0"/>
              <w:ind w:right="386"/>
              <w:jc w:val="right"/>
              <w:rPr>
                <w:rFonts w:cs="Arial"/>
                <w:b/>
                <w:lang w:val="en-US" w:eastAsia="en-US"/>
              </w:rPr>
            </w:pPr>
          </w:p>
        </w:tc>
        <w:tc>
          <w:tcPr>
            <w:tcW w:w="1318" w:type="dxa"/>
            <w:shd w:val="clear" w:color="auto" w:fill="auto"/>
          </w:tcPr>
          <w:p w14:paraId="29003E9D" w14:textId="77777777" w:rsidR="009E6C62" w:rsidRPr="009E6C62" w:rsidRDefault="009E6C62" w:rsidP="009E6C62">
            <w:pPr>
              <w:autoSpaceDE w:val="0"/>
              <w:autoSpaceDN w:val="0"/>
              <w:adjustRightInd w:val="0"/>
              <w:spacing w:after="0"/>
              <w:jc w:val="right"/>
              <w:rPr>
                <w:rFonts w:cs="Arial"/>
                <w:lang w:val="en-US" w:eastAsia="en-US"/>
              </w:rPr>
            </w:pPr>
          </w:p>
        </w:tc>
        <w:tc>
          <w:tcPr>
            <w:tcW w:w="1322" w:type="dxa"/>
            <w:shd w:val="clear" w:color="auto" w:fill="auto"/>
          </w:tcPr>
          <w:p w14:paraId="096EE382" w14:textId="77777777" w:rsidR="009E6C62" w:rsidRPr="009E6C62" w:rsidRDefault="009E6C62" w:rsidP="009E6C62">
            <w:pPr>
              <w:autoSpaceDE w:val="0"/>
              <w:autoSpaceDN w:val="0"/>
              <w:adjustRightInd w:val="0"/>
              <w:spacing w:after="0"/>
              <w:ind w:right="34"/>
              <w:jc w:val="right"/>
              <w:rPr>
                <w:rFonts w:cs="Arial"/>
                <w:lang w:val="en-US" w:eastAsia="en-US"/>
              </w:rPr>
            </w:pPr>
          </w:p>
        </w:tc>
        <w:tc>
          <w:tcPr>
            <w:tcW w:w="1331" w:type="dxa"/>
            <w:shd w:val="clear" w:color="auto" w:fill="auto"/>
          </w:tcPr>
          <w:p w14:paraId="7E1A96DD" w14:textId="77777777" w:rsidR="009E6C62" w:rsidRPr="009E6C62" w:rsidRDefault="009E6C62" w:rsidP="009E6C62">
            <w:pPr>
              <w:autoSpaceDE w:val="0"/>
              <w:autoSpaceDN w:val="0"/>
              <w:adjustRightInd w:val="0"/>
              <w:spacing w:after="0"/>
              <w:jc w:val="right"/>
              <w:rPr>
                <w:rFonts w:cs="Arial"/>
                <w:lang w:val="en-US" w:eastAsia="en-US"/>
              </w:rPr>
            </w:pPr>
          </w:p>
        </w:tc>
        <w:tc>
          <w:tcPr>
            <w:tcW w:w="1207" w:type="dxa"/>
            <w:shd w:val="clear" w:color="auto" w:fill="auto"/>
          </w:tcPr>
          <w:p w14:paraId="5D1A95AB" w14:textId="77777777" w:rsidR="009E6C62" w:rsidRPr="009E6C62" w:rsidRDefault="009E6C62" w:rsidP="009E6C62">
            <w:pPr>
              <w:autoSpaceDE w:val="0"/>
              <w:autoSpaceDN w:val="0"/>
              <w:adjustRightInd w:val="0"/>
              <w:spacing w:after="0"/>
              <w:jc w:val="right"/>
              <w:rPr>
                <w:rFonts w:cs="Arial"/>
                <w:lang w:val="en-US" w:eastAsia="en-US"/>
              </w:rPr>
            </w:pPr>
          </w:p>
        </w:tc>
      </w:tr>
      <w:tr w:rsidR="009E6C62" w:rsidRPr="009E6C62" w14:paraId="485735BC" w14:textId="77777777" w:rsidTr="009E6C62">
        <w:tc>
          <w:tcPr>
            <w:tcW w:w="3150" w:type="dxa"/>
            <w:shd w:val="clear" w:color="auto" w:fill="auto"/>
          </w:tcPr>
          <w:p w14:paraId="147D0FF9" w14:textId="77777777" w:rsidR="009E6C62" w:rsidRPr="009E6C62" w:rsidRDefault="009E6C62" w:rsidP="009E6C62">
            <w:pPr>
              <w:autoSpaceDE w:val="0"/>
              <w:autoSpaceDN w:val="0"/>
              <w:adjustRightInd w:val="0"/>
              <w:spacing w:after="0"/>
              <w:ind w:right="386"/>
              <w:jc w:val="right"/>
              <w:rPr>
                <w:rFonts w:cs="Arial"/>
                <w:b/>
                <w:lang w:val="en-US" w:eastAsia="en-US"/>
              </w:rPr>
            </w:pPr>
            <w:r w:rsidRPr="009E6C62">
              <w:rPr>
                <w:rFonts w:cs="Arial"/>
                <w:b/>
                <w:lang w:val="en-US" w:eastAsia="en-US"/>
              </w:rPr>
              <w:t>Total</w:t>
            </w:r>
          </w:p>
        </w:tc>
        <w:tc>
          <w:tcPr>
            <w:tcW w:w="1318" w:type="dxa"/>
            <w:shd w:val="clear" w:color="auto" w:fill="auto"/>
          </w:tcPr>
          <w:p w14:paraId="1CDA6F98"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5,500</w:t>
            </w:r>
          </w:p>
        </w:tc>
        <w:tc>
          <w:tcPr>
            <w:tcW w:w="1322" w:type="dxa"/>
            <w:shd w:val="clear" w:color="auto" w:fill="auto"/>
          </w:tcPr>
          <w:p w14:paraId="02F7CD2D" w14:textId="77777777" w:rsidR="009E6C62" w:rsidRPr="009E6C62" w:rsidRDefault="009E6C62" w:rsidP="009E6C62">
            <w:pPr>
              <w:autoSpaceDE w:val="0"/>
              <w:autoSpaceDN w:val="0"/>
              <w:adjustRightInd w:val="0"/>
              <w:spacing w:after="0"/>
              <w:ind w:right="34"/>
              <w:jc w:val="right"/>
              <w:rPr>
                <w:rFonts w:cs="Arial"/>
                <w:lang w:val="en-US" w:eastAsia="en-US"/>
              </w:rPr>
            </w:pPr>
            <w:r w:rsidRPr="009E6C62">
              <w:rPr>
                <w:rFonts w:cs="Arial"/>
                <w:lang w:val="en-US" w:eastAsia="en-US"/>
              </w:rPr>
              <w:t>10,100</w:t>
            </w:r>
          </w:p>
        </w:tc>
        <w:tc>
          <w:tcPr>
            <w:tcW w:w="1331" w:type="dxa"/>
            <w:shd w:val="clear" w:color="auto" w:fill="auto"/>
          </w:tcPr>
          <w:p w14:paraId="7786D83D"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11,389</w:t>
            </w:r>
          </w:p>
        </w:tc>
        <w:tc>
          <w:tcPr>
            <w:tcW w:w="1207" w:type="dxa"/>
            <w:shd w:val="clear" w:color="auto" w:fill="auto"/>
          </w:tcPr>
          <w:p w14:paraId="0B229267" w14:textId="77777777" w:rsidR="009E6C62" w:rsidRPr="009E6C62" w:rsidRDefault="009E6C62" w:rsidP="009E6C62">
            <w:pPr>
              <w:autoSpaceDE w:val="0"/>
              <w:autoSpaceDN w:val="0"/>
              <w:adjustRightInd w:val="0"/>
              <w:spacing w:after="0"/>
              <w:jc w:val="right"/>
              <w:rPr>
                <w:rFonts w:cs="Arial"/>
                <w:lang w:val="en-US" w:eastAsia="en-US"/>
              </w:rPr>
            </w:pPr>
            <w:r w:rsidRPr="009E6C62">
              <w:rPr>
                <w:rFonts w:cs="Arial"/>
                <w:lang w:val="en-US" w:eastAsia="en-US"/>
              </w:rPr>
              <w:t>10,800</w:t>
            </w:r>
          </w:p>
        </w:tc>
      </w:tr>
    </w:tbl>
    <w:p w14:paraId="54B54F9A" w14:textId="77777777" w:rsidR="005965F1" w:rsidRPr="009B17AB" w:rsidRDefault="005965F1" w:rsidP="005965F1">
      <w:pPr>
        <w:pStyle w:val="Default"/>
        <w:ind w:right="386"/>
        <w:rPr>
          <w:rFonts w:ascii="Arial" w:hAnsi="Arial" w:cs="Arial"/>
        </w:rPr>
      </w:pPr>
    </w:p>
    <w:p w14:paraId="4ABBACC6" w14:textId="77777777" w:rsidR="006702CA" w:rsidRPr="009B17AB" w:rsidRDefault="006702CA" w:rsidP="00A02648">
      <w:pPr>
        <w:pStyle w:val="Heading1"/>
        <w:rPr>
          <w:rFonts w:cs="Arial"/>
        </w:rPr>
      </w:pPr>
      <w:r w:rsidRPr="009B17AB">
        <w:rPr>
          <w:rFonts w:cs="Arial"/>
        </w:rPr>
        <w:t>Oxford West End Development (OXWED)</w:t>
      </w:r>
    </w:p>
    <w:p w14:paraId="1CDFFC00" w14:textId="77777777" w:rsidR="009B17AB" w:rsidRPr="008A22C6" w:rsidRDefault="009B17AB" w:rsidP="00904851">
      <w:pPr>
        <w:pStyle w:val="ListParagraph"/>
        <w:numPr>
          <w:ilvl w:val="0"/>
          <w:numId w:val="41"/>
        </w:numPr>
        <w:spacing w:after="0"/>
        <w:ind w:left="426" w:hanging="426"/>
        <w:contextualSpacing/>
      </w:pPr>
      <w:r w:rsidRPr="009B17AB">
        <w:lastRenderedPageBreak/>
        <w:t>The Council has invested money on a 50/50 basis with its partner Nuffield College at a loan investment rate of 6.5%</w:t>
      </w:r>
      <w:r>
        <w:t xml:space="preserve"> with loans outstanding at 31-10-2022 of £12.6 million loan and accrued interest of approximately £4.67 million. The overall development will drive significant gross value added, additional council tax, business rates and dividend return from the LLP. The timing of this return is as yet uncertain but is likely to be outside the next 4 year MTFP period possibly from 2027-28 onwards and at this stage has not been included.</w:t>
      </w:r>
    </w:p>
    <w:p w14:paraId="57D35E32" w14:textId="77777777" w:rsidR="009B17AB" w:rsidRDefault="009B17AB" w:rsidP="009B17AB">
      <w:pPr>
        <w:pStyle w:val="ListParagraph"/>
        <w:numPr>
          <w:ilvl w:val="0"/>
          <w:numId w:val="0"/>
        </w:numPr>
        <w:ind w:left="360"/>
      </w:pPr>
    </w:p>
    <w:p w14:paraId="62D187F7" w14:textId="77777777" w:rsidR="009B17AB" w:rsidRDefault="009B17AB" w:rsidP="00904851">
      <w:pPr>
        <w:pStyle w:val="ListParagraph"/>
        <w:numPr>
          <w:ilvl w:val="0"/>
          <w:numId w:val="41"/>
        </w:numPr>
        <w:tabs>
          <w:tab w:val="clear" w:pos="426"/>
        </w:tabs>
        <w:spacing w:after="0"/>
        <w:ind w:left="426" w:hanging="426"/>
        <w:contextualSpacing/>
      </w:pPr>
      <w:r>
        <w:t xml:space="preserve">In March 2021 </w:t>
      </w:r>
      <w:proofErr w:type="spellStart"/>
      <w:r>
        <w:t>Oxwed’s</w:t>
      </w:r>
      <w:proofErr w:type="spellEnd"/>
      <w:r>
        <w:t xml:space="preserve"> shareholders resolved to proceed with the preparation of a master plan and the submission of a planning application.</w:t>
      </w:r>
      <w:r w:rsidR="00977030">
        <w:t xml:space="preserve"> </w:t>
      </w:r>
      <w:proofErr w:type="spellStart"/>
      <w:r>
        <w:t>Oxwed</w:t>
      </w:r>
      <w:proofErr w:type="spellEnd"/>
      <w:r>
        <w:t xml:space="preserve"> have now submitted two planning applications to the Local Planning Authority. The first </w:t>
      </w:r>
      <w:proofErr w:type="spellStart"/>
      <w:r>
        <w:t>Oxwed</w:t>
      </w:r>
      <w:proofErr w:type="spellEnd"/>
      <w:r>
        <w:t xml:space="preserve"> application is</w:t>
      </w:r>
      <w:r w:rsidR="00977030">
        <w:t xml:space="preserve"> </w:t>
      </w:r>
      <w:r>
        <w:t xml:space="preserve">an outline planning application for the master plan and the second is a detailed planning application for the enabling works needed to address the flood risk and create a development platform. </w:t>
      </w:r>
    </w:p>
    <w:p w14:paraId="1B5A0CD6" w14:textId="77777777" w:rsidR="009B17AB" w:rsidRPr="009B17AB" w:rsidRDefault="009B17AB" w:rsidP="009B17AB">
      <w:pPr>
        <w:pStyle w:val="ListParagraph"/>
        <w:numPr>
          <w:ilvl w:val="0"/>
          <w:numId w:val="0"/>
        </w:numPr>
        <w:ind w:left="360"/>
        <w:rPr>
          <w:color w:val="auto"/>
        </w:rPr>
      </w:pPr>
    </w:p>
    <w:p w14:paraId="68AB3C1D" w14:textId="77777777" w:rsidR="009B17AB" w:rsidRPr="009B17AB" w:rsidRDefault="009B17AB" w:rsidP="00904851">
      <w:pPr>
        <w:pStyle w:val="ListParagraph"/>
        <w:numPr>
          <w:ilvl w:val="0"/>
          <w:numId w:val="41"/>
        </w:numPr>
        <w:tabs>
          <w:tab w:val="clear" w:pos="426"/>
        </w:tabs>
        <w:spacing w:after="0"/>
        <w:ind w:left="426" w:hanging="426"/>
        <w:contextualSpacing/>
        <w:rPr>
          <w:color w:val="auto"/>
        </w:rPr>
      </w:pPr>
      <w:r w:rsidRPr="009B17AB">
        <w:rPr>
          <w:color w:val="auto"/>
        </w:rPr>
        <w:t xml:space="preserve">Whilst the planning application is under consideration </w:t>
      </w:r>
      <w:proofErr w:type="spellStart"/>
      <w:r w:rsidRPr="009B17AB">
        <w:rPr>
          <w:color w:val="auto"/>
        </w:rPr>
        <w:t>OxWED</w:t>
      </w:r>
      <w:proofErr w:type="spellEnd"/>
      <w:r w:rsidRPr="009B17AB">
        <w:rPr>
          <w:color w:val="auto"/>
        </w:rPr>
        <w:t xml:space="preserve"> wish to commence work on defining a delivery strategy for the site should planning permission be </w:t>
      </w:r>
      <w:proofErr w:type="gramStart"/>
      <w:r w:rsidRPr="009B17AB">
        <w:rPr>
          <w:color w:val="auto"/>
        </w:rPr>
        <w:t>granted.</w:t>
      </w:r>
      <w:proofErr w:type="gramEnd"/>
      <w:r w:rsidRPr="009B17AB">
        <w:rPr>
          <w:color w:val="auto"/>
        </w:rPr>
        <w:t xml:space="preserve"> If they wait to start on this until planning permission is secured then there will be a long lag between consent and going to market, which would delay delivery. Therefore, a balanced risk approach is proposed to agree the strategy whilst the application is under consideration but not to enact it in terms of going to market until planning permission is in place. If permission was not granted then the work on the delivery strategy and other work done to date would have to be revisited. </w:t>
      </w:r>
    </w:p>
    <w:p w14:paraId="0C2E2497" w14:textId="77777777" w:rsidR="009B17AB" w:rsidRDefault="009B17AB" w:rsidP="009B17AB">
      <w:pPr>
        <w:pStyle w:val="ListParagraph"/>
        <w:numPr>
          <w:ilvl w:val="0"/>
          <w:numId w:val="0"/>
        </w:numPr>
        <w:ind w:left="720"/>
      </w:pPr>
    </w:p>
    <w:p w14:paraId="613E7897" w14:textId="77777777" w:rsidR="009B17AB" w:rsidRPr="009B17AB" w:rsidRDefault="009B17AB" w:rsidP="00904851">
      <w:pPr>
        <w:pStyle w:val="ListParagraph"/>
        <w:numPr>
          <w:ilvl w:val="0"/>
          <w:numId w:val="41"/>
        </w:numPr>
        <w:tabs>
          <w:tab w:val="clear" w:pos="426"/>
        </w:tabs>
        <w:spacing w:after="0"/>
        <w:ind w:left="426"/>
        <w:contextualSpacing/>
      </w:pPr>
      <w:r>
        <w:t xml:space="preserve">This approach will require the approval of additional expenditure to support the finalisation of an agreed delivery strategy, and the identification of a development partner(s). This is the next critical step to ensure the best possible return to the Council. If planning permission is secured </w:t>
      </w:r>
      <w:proofErr w:type="spellStart"/>
      <w:r>
        <w:t>Oxwed</w:t>
      </w:r>
      <w:proofErr w:type="spellEnd"/>
      <w:r>
        <w:t xml:space="preserve"> will also </w:t>
      </w:r>
      <w:r>
        <w:lastRenderedPageBreak/>
        <w:t xml:space="preserve">wish to carry out additional work to secure third party land and to undertake enabling works to the site to further de–risk the site for development market, and hopefully embed value in so doing. Additional </w:t>
      </w:r>
      <w:r w:rsidRPr="009B17AB">
        <w:t>budget for this is included in this Budget but the drawdown of this will be subject to future decisions by Cabinet and Shareholder.</w:t>
      </w:r>
    </w:p>
    <w:p w14:paraId="34A51A7D" w14:textId="77777777" w:rsidR="009B17AB" w:rsidRPr="009B17AB" w:rsidRDefault="009B17AB" w:rsidP="009B17AB">
      <w:pPr>
        <w:pStyle w:val="ListParagraph"/>
        <w:numPr>
          <w:ilvl w:val="0"/>
          <w:numId w:val="0"/>
        </w:numPr>
        <w:ind w:left="360"/>
      </w:pPr>
    </w:p>
    <w:p w14:paraId="3CF5FAE3" w14:textId="77777777" w:rsidR="009B17AB" w:rsidRPr="007A5788" w:rsidRDefault="009B17AB" w:rsidP="00904851">
      <w:pPr>
        <w:pStyle w:val="ListParagraph"/>
        <w:numPr>
          <w:ilvl w:val="0"/>
          <w:numId w:val="41"/>
        </w:numPr>
        <w:autoSpaceDE w:val="0"/>
        <w:autoSpaceDN w:val="0"/>
        <w:adjustRightInd w:val="0"/>
        <w:spacing w:after="0"/>
        <w:ind w:left="426" w:right="386" w:hanging="426"/>
        <w:rPr>
          <w:rFonts w:cs="Arial"/>
          <w:lang w:val="en-US" w:eastAsia="en-US"/>
        </w:rPr>
      </w:pPr>
      <w:r w:rsidRPr="007A5788">
        <w:t>The budget figure for this additional expenditure is £3.85m. Of this amount £750,000 relates to the delivery strategy and the remaining £3.1m relates to the enabling works and additional work to secure third party land. A Cabinet report for the delivery strategy is being considered at the February 2023 meeting alongside the budget papers. The budget for the enabling works and additional work relating to third party land will be subject to future reports and decisions.</w:t>
      </w:r>
    </w:p>
    <w:p w14:paraId="43A6A943" w14:textId="77777777" w:rsidR="00A77BAE" w:rsidRPr="00B54839" w:rsidRDefault="00A77BAE" w:rsidP="00A77BAE">
      <w:pPr>
        <w:autoSpaceDE w:val="0"/>
        <w:autoSpaceDN w:val="0"/>
        <w:adjustRightInd w:val="0"/>
        <w:spacing w:after="0"/>
        <w:ind w:left="709" w:right="386" w:hanging="709"/>
        <w:rPr>
          <w:rFonts w:cs="Arial"/>
          <w:highlight w:val="yellow"/>
          <w:lang w:val="en-US" w:eastAsia="en-US"/>
        </w:rPr>
      </w:pPr>
    </w:p>
    <w:p w14:paraId="6BB83E29" w14:textId="77777777" w:rsidR="006702CA" w:rsidRPr="002B1AA2" w:rsidRDefault="006702CA" w:rsidP="00A02648">
      <w:pPr>
        <w:pStyle w:val="Heading1"/>
      </w:pPr>
      <w:r w:rsidRPr="002B1AA2">
        <w:t>Oxford Direct Services</w:t>
      </w:r>
    </w:p>
    <w:p w14:paraId="1635AE66" w14:textId="589BC6AD" w:rsidR="002B1AA2" w:rsidRDefault="002B1AA2" w:rsidP="00904851">
      <w:pPr>
        <w:pStyle w:val="ListParagraph"/>
        <w:numPr>
          <w:ilvl w:val="0"/>
          <w:numId w:val="41"/>
        </w:numPr>
        <w:spacing w:after="0"/>
        <w:ind w:left="426" w:right="386" w:hanging="426"/>
      </w:pPr>
      <w:r w:rsidRPr="002B1AA2">
        <w:t xml:space="preserve">There are no changes to the forecast financial returns from ODS to the Council over the 4 year period of the MTFS since the </w:t>
      </w:r>
      <w:r w:rsidR="00EF7FF3">
        <w:t xml:space="preserve">Consultation Budget as follows </w:t>
      </w:r>
      <w:r w:rsidRPr="002B1AA2">
        <w:t>:</w:t>
      </w:r>
    </w:p>
    <w:p w14:paraId="3D472E57" w14:textId="77777777" w:rsidR="00483BE3" w:rsidRDefault="00483BE3" w:rsidP="0033029E">
      <w:pPr>
        <w:spacing w:after="0"/>
        <w:ind w:right="386"/>
      </w:pPr>
    </w:p>
    <w:p w14:paraId="6EC98C08" w14:textId="77777777" w:rsidR="00483BE3" w:rsidRDefault="00483BE3" w:rsidP="002B1AA2">
      <w:pPr>
        <w:pStyle w:val="ListParagraph"/>
        <w:numPr>
          <w:ilvl w:val="0"/>
          <w:numId w:val="0"/>
        </w:numPr>
        <w:tabs>
          <w:tab w:val="clear" w:pos="426"/>
        </w:tabs>
        <w:spacing w:after="0"/>
        <w:ind w:left="426" w:right="386"/>
      </w:pPr>
    </w:p>
    <w:p w14:paraId="488D619F" w14:textId="08FCC40C" w:rsidR="002B1AA2" w:rsidRPr="002B1AA2" w:rsidRDefault="00483BE3" w:rsidP="002B1AA2">
      <w:pPr>
        <w:pStyle w:val="ListParagraph"/>
        <w:numPr>
          <w:ilvl w:val="0"/>
          <w:numId w:val="0"/>
        </w:numPr>
        <w:tabs>
          <w:tab w:val="clear" w:pos="426"/>
        </w:tabs>
        <w:spacing w:after="0"/>
        <w:ind w:left="426" w:right="386"/>
        <w:rPr>
          <w:b/>
        </w:rPr>
      </w:pPr>
      <w:r>
        <w:rPr>
          <w:b/>
        </w:rPr>
        <w:t>T</w:t>
      </w:r>
      <w:r w:rsidR="002B1AA2" w:rsidRPr="002B1AA2">
        <w:rPr>
          <w:b/>
        </w:rPr>
        <w:t xml:space="preserve">able </w:t>
      </w:r>
      <w:r w:rsidR="0003318D">
        <w:rPr>
          <w:b/>
        </w:rPr>
        <w:t>9</w:t>
      </w:r>
      <w:r w:rsidR="00EE67A8">
        <w:rPr>
          <w:b/>
        </w:rPr>
        <w:t xml:space="preserve"> Oxford Direct Services Revenu</w:t>
      </w:r>
      <w:r w:rsidR="002B1AA2" w:rsidRPr="002B1AA2">
        <w:rPr>
          <w:b/>
        </w:rPr>
        <w:t>e – 2021-22 to 2025-26</w:t>
      </w:r>
    </w:p>
    <w:p w14:paraId="72E6EE45" w14:textId="77777777" w:rsidR="002B1AA2" w:rsidRDefault="002B1AA2" w:rsidP="002B1AA2">
      <w:pPr>
        <w:pStyle w:val="ListParagraph"/>
        <w:numPr>
          <w:ilvl w:val="0"/>
          <w:numId w:val="0"/>
        </w:numPr>
        <w:tabs>
          <w:tab w:val="clear" w:pos="426"/>
        </w:tabs>
        <w:spacing w:after="0"/>
        <w:ind w:left="426" w:right="386"/>
        <w:rPr>
          <w:highlight w:val="yellow"/>
        </w:rPr>
      </w:pPr>
    </w:p>
    <w:p w14:paraId="204FC148" w14:textId="77777777" w:rsidR="002B1AA2" w:rsidRDefault="002B1AA2" w:rsidP="002B1AA2">
      <w:pPr>
        <w:pStyle w:val="ListParagraph"/>
        <w:numPr>
          <w:ilvl w:val="0"/>
          <w:numId w:val="0"/>
        </w:numPr>
        <w:tabs>
          <w:tab w:val="clear" w:pos="426"/>
        </w:tabs>
        <w:spacing w:after="0"/>
        <w:ind w:left="426" w:right="386"/>
        <w:rPr>
          <w:highlight w:val="yellow"/>
        </w:rPr>
      </w:pPr>
      <w:r w:rsidRPr="009B3CDD">
        <w:rPr>
          <w:noProof/>
        </w:rPr>
        <w:lastRenderedPageBreak/>
        <w:drawing>
          <wp:inline distT="0" distB="0" distL="0" distR="0" wp14:anchorId="68DAA727" wp14:editId="274B6F37">
            <wp:extent cx="5561965" cy="179475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1965" cy="1794759"/>
                    </a:xfrm>
                    <a:prstGeom prst="rect">
                      <a:avLst/>
                    </a:prstGeom>
                    <a:noFill/>
                  </pic:spPr>
                </pic:pic>
              </a:graphicData>
            </a:graphic>
          </wp:inline>
        </w:drawing>
      </w:r>
    </w:p>
    <w:p w14:paraId="2EB6B682" w14:textId="77777777" w:rsidR="00CF7721" w:rsidRPr="00B54839" w:rsidRDefault="002B1AA2" w:rsidP="002B1AA2">
      <w:pPr>
        <w:pStyle w:val="ListParagraph"/>
        <w:numPr>
          <w:ilvl w:val="0"/>
          <w:numId w:val="0"/>
        </w:numPr>
        <w:tabs>
          <w:tab w:val="clear" w:pos="426"/>
        </w:tabs>
        <w:spacing w:after="0"/>
        <w:ind w:left="426" w:right="386"/>
        <w:rPr>
          <w:highlight w:val="yellow"/>
        </w:rPr>
      </w:pPr>
      <w:r w:rsidRPr="00B54839">
        <w:rPr>
          <w:highlight w:val="yellow"/>
        </w:rPr>
        <w:t xml:space="preserve"> </w:t>
      </w:r>
    </w:p>
    <w:p w14:paraId="32845A6A" w14:textId="77777777" w:rsidR="00CF7721" w:rsidRPr="00B54839" w:rsidRDefault="00CF7721" w:rsidP="00CF7721">
      <w:pPr>
        <w:spacing w:after="200" w:line="276" w:lineRule="auto"/>
        <w:ind w:left="720" w:hanging="720"/>
        <w:contextualSpacing/>
        <w:rPr>
          <w:color w:val="auto"/>
          <w:highlight w:val="yellow"/>
          <w:lang w:eastAsia="en-US"/>
        </w:rPr>
      </w:pPr>
    </w:p>
    <w:p w14:paraId="1A8D6F66" w14:textId="77777777" w:rsidR="002B3BBA" w:rsidRPr="00B54839" w:rsidRDefault="00506E70" w:rsidP="00A02648">
      <w:pPr>
        <w:pStyle w:val="Heading1"/>
      </w:pPr>
      <w:r w:rsidRPr="00B54839">
        <w:t>Financial Implications</w:t>
      </w:r>
    </w:p>
    <w:p w14:paraId="3EF75C32" w14:textId="49CAE843" w:rsidR="00506E70" w:rsidRPr="00B54839" w:rsidRDefault="00052AE4" w:rsidP="00904851">
      <w:pPr>
        <w:pStyle w:val="bParagraphtext"/>
        <w:numPr>
          <w:ilvl w:val="0"/>
          <w:numId w:val="41"/>
        </w:numPr>
        <w:ind w:left="1134" w:hanging="1134"/>
      </w:pPr>
      <w:r w:rsidRPr="00B54839">
        <w:t>T</w:t>
      </w:r>
      <w:r w:rsidR="00506E70" w:rsidRPr="00B54839">
        <w:t>hese are covered within the main body of the report</w:t>
      </w:r>
      <w:r w:rsidR="0033029E">
        <w:t>.</w:t>
      </w:r>
    </w:p>
    <w:p w14:paraId="3298B039" w14:textId="77777777" w:rsidR="00506E70" w:rsidRPr="00B54839" w:rsidRDefault="00506E70" w:rsidP="00A02648">
      <w:pPr>
        <w:pStyle w:val="Heading1"/>
      </w:pPr>
      <w:r w:rsidRPr="00B54839">
        <w:t>Legal Implications</w:t>
      </w:r>
    </w:p>
    <w:p w14:paraId="26AD4E2E" w14:textId="77777777" w:rsidR="00327963" w:rsidRPr="00B54839" w:rsidRDefault="00327963" w:rsidP="00904851">
      <w:pPr>
        <w:pStyle w:val="bParagraphtext"/>
        <w:numPr>
          <w:ilvl w:val="0"/>
          <w:numId w:val="41"/>
        </w:numPr>
        <w:ind w:left="426" w:hanging="426"/>
      </w:pPr>
      <w:r w:rsidRPr="00B54839">
        <w:t>The Council is required to set a balanced budget taking account of working balances and any other available reserves before the commencement of the financial year to which it relates. Consultation will be undertaken with the General Public for a period of 6 weeks in accordance with CIPFA Guidance.</w:t>
      </w:r>
    </w:p>
    <w:p w14:paraId="619CFB86" w14:textId="77777777" w:rsidR="00327963" w:rsidRPr="00B54839" w:rsidRDefault="00327963" w:rsidP="00904851">
      <w:pPr>
        <w:pStyle w:val="bParagraphtext"/>
        <w:numPr>
          <w:ilvl w:val="0"/>
          <w:numId w:val="41"/>
        </w:numPr>
        <w:ind w:left="426" w:hanging="426"/>
      </w:pPr>
      <w:r w:rsidRPr="00B54839">
        <w:t xml:space="preserve">The Local Government Act 2000 states that it is the responsibility of the full council, on the recommendation of the executive to approve the budget </w:t>
      </w:r>
      <w:r w:rsidR="00A02648" w:rsidRPr="00B54839">
        <w:t>and related council tax demand.</w:t>
      </w:r>
    </w:p>
    <w:p w14:paraId="5E6A2216" w14:textId="77777777" w:rsidR="00327963" w:rsidRPr="00B54839" w:rsidRDefault="00327963" w:rsidP="00904851">
      <w:pPr>
        <w:pStyle w:val="bParagraphtext"/>
        <w:numPr>
          <w:ilvl w:val="0"/>
          <w:numId w:val="41"/>
        </w:numPr>
        <w:ind w:left="426" w:hanging="426"/>
      </w:pPr>
      <w:r w:rsidRPr="00B54839">
        <w:t xml:space="preserve">The Local Government Act 2003, section 25 requires the council’s Section151 Officer to report to the council on the robustness of the estimates made and the adequacy of the proposed financial reserves assumed in the budget calculations. This will be done at Council in February 2019 when the Budget is approved. </w:t>
      </w:r>
    </w:p>
    <w:p w14:paraId="28AAA11A" w14:textId="77777777" w:rsidR="00327963" w:rsidRPr="00B54839" w:rsidRDefault="007D7B42" w:rsidP="00904851">
      <w:pPr>
        <w:pStyle w:val="bParagraphtext"/>
        <w:numPr>
          <w:ilvl w:val="0"/>
          <w:numId w:val="41"/>
        </w:numPr>
        <w:ind w:left="426" w:hanging="426"/>
      </w:pPr>
      <w:r w:rsidRPr="00B54839">
        <w:lastRenderedPageBreak/>
        <w:t>Failure to set a legal budget may lead to intervention from the Secretary of State under section 15 of the Local Government Act 1999.</w:t>
      </w:r>
    </w:p>
    <w:p w14:paraId="34F326A2" w14:textId="77777777" w:rsidR="0017078C" w:rsidRPr="00B54839" w:rsidRDefault="0017078C" w:rsidP="0017078C">
      <w:pPr>
        <w:pStyle w:val="bParagraphtext"/>
        <w:numPr>
          <w:ilvl w:val="0"/>
          <w:numId w:val="0"/>
        </w:numPr>
        <w:ind w:left="360" w:hanging="360"/>
      </w:pPr>
    </w:p>
    <w:p w14:paraId="6F1DD390" w14:textId="77777777" w:rsidR="00506E70" w:rsidRPr="00B54839" w:rsidRDefault="00184310" w:rsidP="00A02648">
      <w:pPr>
        <w:pStyle w:val="Heading1"/>
      </w:pPr>
      <w:r w:rsidRPr="00B54839">
        <w:t>Ris</w:t>
      </w:r>
      <w:r w:rsidR="00506E70" w:rsidRPr="00B54839">
        <w:t>k Implications</w:t>
      </w:r>
    </w:p>
    <w:p w14:paraId="664A3CC9" w14:textId="77777777" w:rsidR="002B3BBA" w:rsidRPr="00B54839" w:rsidRDefault="00B17F3A" w:rsidP="00904851">
      <w:pPr>
        <w:pStyle w:val="bParagraphtext"/>
        <w:numPr>
          <w:ilvl w:val="0"/>
          <w:numId w:val="41"/>
        </w:numPr>
        <w:ind w:left="426" w:hanging="426"/>
      </w:pPr>
      <w:r w:rsidRPr="00B54839">
        <w:t xml:space="preserve">These are shown in Appendix </w:t>
      </w:r>
      <w:r w:rsidR="00052AE4" w:rsidRPr="00B54839">
        <w:t>8</w:t>
      </w:r>
      <w:r w:rsidRPr="00B54839">
        <w:t xml:space="preserve"> of the report</w:t>
      </w:r>
      <w:r w:rsidR="00FC3C3C" w:rsidRPr="00B54839">
        <w:t xml:space="preserve"> and highlighted within the body of the report</w:t>
      </w:r>
      <w:r w:rsidR="00A02648" w:rsidRPr="00B54839">
        <w:t>.</w:t>
      </w:r>
    </w:p>
    <w:p w14:paraId="490AE66D" w14:textId="77777777" w:rsidR="004113FA" w:rsidRPr="00B54839" w:rsidRDefault="00DA3B0F" w:rsidP="00A02648">
      <w:pPr>
        <w:pStyle w:val="Heading1"/>
      </w:pPr>
      <w:r w:rsidRPr="00B54839">
        <w:t>Equalities Impact Assessment</w:t>
      </w:r>
    </w:p>
    <w:p w14:paraId="4236C3A8" w14:textId="77777777" w:rsidR="000E565C" w:rsidRPr="00B54839" w:rsidRDefault="00DA3B0F" w:rsidP="00904851">
      <w:pPr>
        <w:pStyle w:val="bParagraphtext"/>
        <w:numPr>
          <w:ilvl w:val="0"/>
          <w:numId w:val="41"/>
        </w:numPr>
        <w:ind w:left="426" w:hanging="426"/>
      </w:pPr>
      <w:r w:rsidRPr="00B54839">
        <w:rPr>
          <w:shd w:val="clear" w:color="auto" w:fill="FFFFFF" w:themeFill="background1"/>
        </w:rPr>
        <w:t>A copy of the E</w:t>
      </w:r>
      <w:r w:rsidR="00582CF1" w:rsidRPr="00B54839">
        <w:rPr>
          <w:shd w:val="clear" w:color="auto" w:fill="FFFFFF" w:themeFill="background1"/>
        </w:rPr>
        <w:t xml:space="preserve">qualities </w:t>
      </w:r>
      <w:r w:rsidRPr="00B54839">
        <w:rPr>
          <w:shd w:val="clear" w:color="auto" w:fill="FFFFFF" w:themeFill="background1"/>
        </w:rPr>
        <w:t>I</w:t>
      </w:r>
      <w:r w:rsidR="00582CF1" w:rsidRPr="00B54839">
        <w:rPr>
          <w:shd w:val="clear" w:color="auto" w:fill="FFFFFF" w:themeFill="background1"/>
        </w:rPr>
        <w:t xml:space="preserve">mpact </w:t>
      </w:r>
      <w:r w:rsidRPr="00B54839">
        <w:rPr>
          <w:shd w:val="clear" w:color="auto" w:fill="FFFFFF" w:themeFill="background1"/>
        </w:rPr>
        <w:t>A</w:t>
      </w:r>
      <w:r w:rsidR="00582CF1" w:rsidRPr="00B54839">
        <w:rPr>
          <w:shd w:val="clear" w:color="auto" w:fill="FFFFFF" w:themeFill="background1"/>
        </w:rPr>
        <w:t>ssessment</w:t>
      </w:r>
      <w:r w:rsidRPr="00B54839">
        <w:rPr>
          <w:shd w:val="clear" w:color="auto" w:fill="FFFFFF" w:themeFill="background1"/>
        </w:rPr>
        <w:t xml:space="preserve"> is given in Appendix </w:t>
      </w:r>
      <w:r w:rsidR="00052AE4" w:rsidRPr="00B54839">
        <w:rPr>
          <w:shd w:val="clear" w:color="auto" w:fill="FFFFFF" w:themeFill="background1"/>
        </w:rPr>
        <w:t>9</w:t>
      </w:r>
      <w:r w:rsidRPr="00B54839">
        <w:rPr>
          <w:shd w:val="clear" w:color="auto" w:fill="FFFFFF" w:themeFill="background1"/>
        </w:rPr>
        <w:t xml:space="preserve"> attached to this</w:t>
      </w:r>
      <w:r w:rsidRPr="00B54839">
        <w:t xml:space="preserve"> report</w:t>
      </w:r>
      <w:r w:rsidR="00A02648" w:rsidRPr="00B54839">
        <w:t>.</w:t>
      </w:r>
    </w:p>
    <w:p w14:paraId="49FCD8A0" w14:textId="77777777" w:rsidR="00DA6450" w:rsidRPr="00B54839" w:rsidRDefault="00DA6450" w:rsidP="00DA6450">
      <w:pPr>
        <w:pStyle w:val="bParagraphtext"/>
        <w:numPr>
          <w:ilvl w:val="0"/>
          <w:numId w:val="0"/>
        </w:numPr>
        <w:ind w:left="360" w:hanging="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02"/>
        <w:gridCol w:w="4829"/>
      </w:tblGrid>
      <w:tr w:rsidR="005320B5" w:rsidRPr="00B54839" w14:paraId="4162DAC3" w14:textId="77777777" w:rsidTr="00C05AA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40F4EBE" w14:textId="77777777" w:rsidR="005320B5" w:rsidRPr="00B54839" w:rsidRDefault="005320B5" w:rsidP="00C05AA0">
            <w:pPr>
              <w:rPr>
                <w:b/>
              </w:rPr>
            </w:pPr>
            <w:r w:rsidRPr="00B54839">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A4C6F9E" w14:textId="77777777" w:rsidR="005320B5" w:rsidRPr="00B54839" w:rsidRDefault="005320B5" w:rsidP="00C05AA0">
            <w:r w:rsidRPr="00B54839">
              <w:t>Nigel Kennedy</w:t>
            </w:r>
          </w:p>
        </w:tc>
      </w:tr>
      <w:tr w:rsidR="005320B5" w:rsidRPr="00B54839" w14:paraId="2AF85836" w14:textId="77777777" w:rsidTr="00C05AA0">
        <w:trPr>
          <w:cantSplit/>
          <w:trHeight w:val="396"/>
        </w:trPr>
        <w:tc>
          <w:tcPr>
            <w:tcW w:w="3969" w:type="dxa"/>
            <w:tcBorders>
              <w:top w:val="single" w:sz="8" w:space="0" w:color="000000"/>
              <w:left w:val="single" w:sz="8" w:space="0" w:color="000000"/>
              <w:bottom w:val="nil"/>
              <w:right w:val="nil"/>
            </w:tcBorders>
            <w:shd w:val="clear" w:color="auto" w:fill="auto"/>
          </w:tcPr>
          <w:p w14:paraId="086F46EE" w14:textId="77777777" w:rsidR="005320B5" w:rsidRPr="00B54839" w:rsidRDefault="005320B5" w:rsidP="00C05AA0">
            <w:r w:rsidRPr="00B54839">
              <w:t>Job title</w:t>
            </w:r>
          </w:p>
        </w:tc>
        <w:tc>
          <w:tcPr>
            <w:tcW w:w="4962" w:type="dxa"/>
            <w:tcBorders>
              <w:top w:val="single" w:sz="8" w:space="0" w:color="000000"/>
              <w:left w:val="nil"/>
              <w:bottom w:val="nil"/>
              <w:right w:val="single" w:sz="8" w:space="0" w:color="000000"/>
            </w:tcBorders>
            <w:shd w:val="clear" w:color="auto" w:fill="auto"/>
          </w:tcPr>
          <w:p w14:paraId="3000D501" w14:textId="77777777" w:rsidR="005320B5" w:rsidRPr="00B54839" w:rsidRDefault="005320B5" w:rsidP="00C05AA0">
            <w:r w:rsidRPr="00B54839">
              <w:t>Head of Financial Services</w:t>
            </w:r>
          </w:p>
        </w:tc>
      </w:tr>
      <w:tr w:rsidR="005320B5" w:rsidRPr="00B54839" w14:paraId="3B0E2949" w14:textId="77777777" w:rsidTr="00C05AA0">
        <w:trPr>
          <w:cantSplit/>
          <w:trHeight w:val="396"/>
        </w:trPr>
        <w:tc>
          <w:tcPr>
            <w:tcW w:w="3969" w:type="dxa"/>
            <w:tcBorders>
              <w:top w:val="nil"/>
              <w:left w:val="single" w:sz="8" w:space="0" w:color="000000"/>
              <w:bottom w:val="nil"/>
              <w:right w:val="nil"/>
            </w:tcBorders>
            <w:shd w:val="clear" w:color="auto" w:fill="auto"/>
          </w:tcPr>
          <w:p w14:paraId="145CE916" w14:textId="77777777" w:rsidR="005320B5" w:rsidRPr="00B54839" w:rsidRDefault="005320B5" w:rsidP="00C05AA0">
            <w:r w:rsidRPr="00B54839">
              <w:t>Service area or department</w:t>
            </w:r>
          </w:p>
        </w:tc>
        <w:tc>
          <w:tcPr>
            <w:tcW w:w="4962" w:type="dxa"/>
            <w:tcBorders>
              <w:top w:val="nil"/>
              <w:left w:val="nil"/>
              <w:bottom w:val="nil"/>
              <w:right w:val="single" w:sz="8" w:space="0" w:color="000000"/>
            </w:tcBorders>
            <w:shd w:val="clear" w:color="auto" w:fill="auto"/>
          </w:tcPr>
          <w:p w14:paraId="4B669FD2" w14:textId="77777777" w:rsidR="005320B5" w:rsidRPr="00B54839" w:rsidRDefault="005320B5" w:rsidP="00C05AA0">
            <w:r w:rsidRPr="00B54839">
              <w:t>Finance</w:t>
            </w:r>
          </w:p>
        </w:tc>
      </w:tr>
      <w:tr w:rsidR="005320B5" w:rsidRPr="00B54839" w14:paraId="6B58B3C9" w14:textId="77777777" w:rsidTr="00C05AA0">
        <w:trPr>
          <w:cantSplit/>
          <w:trHeight w:val="396"/>
        </w:trPr>
        <w:tc>
          <w:tcPr>
            <w:tcW w:w="3969" w:type="dxa"/>
            <w:tcBorders>
              <w:top w:val="nil"/>
              <w:left w:val="single" w:sz="8" w:space="0" w:color="000000"/>
              <w:bottom w:val="nil"/>
              <w:right w:val="nil"/>
            </w:tcBorders>
            <w:shd w:val="clear" w:color="auto" w:fill="auto"/>
          </w:tcPr>
          <w:p w14:paraId="2952A1E0" w14:textId="77777777" w:rsidR="005320B5" w:rsidRPr="00B54839" w:rsidRDefault="005320B5" w:rsidP="00C05AA0">
            <w:r w:rsidRPr="00B54839">
              <w:t xml:space="preserve">Telephone </w:t>
            </w:r>
          </w:p>
        </w:tc>
        <w:tc>
          <w:tcPr>
            <w:tcW w:w="4962" w:type="dxa"/>
            <w:tcBorders>
              <w:top w:val="nil"/>
              <w:left w:val="nil"/>
              <w:bottom w:val="nil"/>
              <w:right w:val="single" w:sz="8" w:space="0" w:color="000000"/>
            </w:tcBorders>
            <w:shd w:val="clear" w:color="auto" w:fill="auto"/>
          </w:tcPr>
          <w:p w14:paraId="6218C55F" w14:textId="77777777" w:rsidR="005320B5" w:rsidRPr="00B54839" w:rsidRDefault="005320B5" w:rsidP="00C05AA0">
            <w:r w:rsidRPr="00B54839">
              <w:t>01865 252708</w:t>
            </w:r>
            <w:r w:rsidR="003A69C5" w:rsidRPr="00B54839">
              <w:t xml:space="preserve"> </w:t>
            </w:r>
          </w:p>
        </w:tc>
      </w:tr>
      <w:tr w:rsidR="005320B5" w:rsidRPr="00B54839" w14:paraId="7C50D204" w14:textId="77777777" w:rsidTr="00C05AA0">
        <w:trPr>
          <w:cantSplit/>
          <w:trHeight w:val="396"/>
        </w:trPr>
        <w:tc>
          <w:tcPr>
            <w:tcW w:w="3969" w:type="dxa"/>
            <w:tcBorders>
              <w:top w:val="nil"/>
              <w:left w:val="single" w:sz="8" w:space="0" w:color="000000"/>
              <w:bottom w:val="single" w:sz="8" w:space="0" w:color="000000"/>
              <w:right w:val="nil"/>
            </w:tcBorders>
            <w:shd w:val="clear" w:color="auto" w:fill="auto"/>
          </w:tcPr>
          <w:p w14:paraId="44F623E6" w14:textId="77777777" w:rsidR="005320B5" w:rsidRPr="00B54839" w:rsidRDefault="005320B5" w:rsidP="00C05AA0">
            <w:r w:rsidRPr="00B54839">
              <w:t xml:space="preserve">e-mail </w:t>
            </w:r>
          </w:p>
        </w:tc>
        <w:tc>
          <w:tcPr>
            <w:tcW w:w="4962" w:type="dxa"/>
            <w:tcBorders>
              <w:top w:val="nil"/>
              <w:left w:val="nil"/>
              <w:bottom w:val="single" w:sz="8" w:space="0" w:color="000000"/>
              <w:right w:val="single" w:sz="8" w:space="0" w:color="000000"/>
            </w:tcBorders>
            <w:shd w:val="clear" w:color="auto" w:fill="auto"/>
          </w:tcPr>
          <w:p w14:paraId="31CC0E64" w14:textId="77777777" w:rsidR="005320B5" w:rsidRPr="00B54839" w:rsidRDefault="005320B5" w:rsidP="00C05AA0">
            <w:r w:rsidRPr="00B54839">
              <w:t>nkennedy@oxford.gov.uk</w:t>
            </w:r>
            <w:r w:rsidR="003A69C5" w:rsidRPr="00B54839">
              <w:t xml:space="preserve"> </w:t>
            </w:r>
          </w:p>
        </w:tc>
      </w:tr>
    </w:tbl>
    <w:p w14:paraId="4395CC6E" w14:textId="77777777" w:rsidR="005320B5" w:rsidRPr="00B54839" w:rsidRDefault="005320B5" w:rsidP="005320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5320B5" w:rsidRPr="00B54839" w14:paraId="28ADF98C" w14:textId="77777777" w:rsidTr="004369C8">
        <w:tc>
          <w:tcPr>
            <w:tcW w:w="8641" w:type="dxa"/>
            <w:tcBorders>
              <w:top w:val="single" w:sz="4" w:space="0" w:color="auto"/>
              <w:left w:val="single" w:sz="4" w:space="0" w:color="auto"/>
              <w:bottom w:val="single" w:sz="8" w:space="0" w:color="000000"/>
              <w:right w:val="single" w:sz="4" w:space="0" w:color="auto"/>
            </w:tcBorders>
            <w:shd w:val="clear" w:color="auto" w:fill="auto"/>
          </w:tcPr>
          <w:p w14:paraId="64D05DDE" w14:textId="305A617E" w:rsidR="005320B5" w:rsidRPr="00B54839" w:rsidRDefault="005320B5" w:rsidP="00C05AA0">
            <w:r w:rsidRPr="00B54839">
              <w:t>Background Papers:</w:t>
            </w:r>
            <w:r w:rsidR="004369C8">
              <w:t xml:space="preserve"> None.</w:t>
            </w:r>
          </w:p>
        </w:tc>
      </w:tr>
    </w:tbl>
    <w:p w14:paraId="71FC56AD" w14:textId="77777777" w:rsidR="00F4367A" w:rsidRPr="0016558A" w:rsidRDefault="00F4367A" w:rsidP="00013557"/>
    <w:sectPr w:rsidR="00F4367A" w:rsidRPr="0016558A" w:rsidSect="00894084">
      <w:headerReference w:type="default" r:id="rId19"/>
      <w:pgSz w:w="11906" w:h="16838" w:code="9"/>
      <w:pgMar w:top="1418" w:right="1304" w:bottom="1304" w:left="1843" w:header="709" w:footer="6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884FF" w16cid:durableId="25A22D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44F5C" w14:textId="77777777" w:rsidR="00135ABC" w:rsidRDefault="00135ABC">
      <w:r>
        <w:separator/>
      </w:r>
    </w:p>
  </w:endnote>
  <w:endnote w:type="continuationSeparator" w:id="0">
    <w:p w14:paraId="7BA13F6C" w14:textId="77777777" w:rsidR="00135ABC" w:rsidRDefault="001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umnst777 Lt BT">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83A0" w14:textId="77777777" w:rsidR="00135ABC" w:rsidRPr="001D016D" w:rsidRDefault="00135ABC" w:rsidP="001D016D">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59AA2" w14:textId="77777777" w:rsidR="00135ABC" w:rsidRDefault="00135ABC">
      <w:r>
        <w:separator/>
      </w:r>
    </w:p>
  </w:footnote>
  <w:footnote w:type="continuationSeparator" w:id="0">
    <w:p w14:paraId="6B9B447C" w14:textId="77777777" w:rsidR="00135ABC" w:rsidRDefault="0013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A9A16" w14:textId="6C192BCA" w:rsidR="00135ABC" w:rsidRDefault="00135ABC" w:rsidP="008A7B3E">
    <w:pPr>
      <w:pStyle w:val="Header"/>
      <w:jc w:val="right"/>
    </w:pPr>
    <w:r w:rsidRPr="0016558A">
      <w:rPr>
        <w:noProof/>
      </w:rPr>
      <w:drawing>
        <wp:inline distT="0" distB="0" distL="0" distR="0" wp14:anchorId="1CB1DCDF" wp14:editId="6E730D7B">
          <wp:extent cx="944245" cy="1262380"/>
          <wp:effectExtent l="0" t="0" r="825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61504" w14:textId="08A0012F" w:rsidR="00135ABC" w:rsidRDefault="00135ABC" w:rsidP="008A7B3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3910"/>
    <w:multiLevelType w:val="hybridMultilevel"/>
    <w:tmpl w:val="9042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43A28"/>
    <w:multiLevelType w:val="hybridMultilevel"/>
    <w:tmpl w:val="851603FA"/>
    <w:lvl w:ilvl="0" w:tplc="387666E6">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81AA6"/>
    <w:multiLevelType w:val="hybridMultilevel"/>
    <w:tmpl w:val="0DE09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7D1F0F"/>
    <w:multiLevelType w:val="hybridMultilevel"/>
    <w:tmpl w:val="8F566F30"/>
    <w:lvl w:ilvl="0" w:tplc="08090017">
      <w:start w:val="1"/>
      <w:numFmt w:val="lowerLetter"/>
      <w:lvlText w:val="%1)"/>
      <w:lvlJc w:val="left"/>
      <w:pPr>
        <w:tabs>
          <w:tab w:val="num" w:pos="1495"/>
        </w:tabs>
        <w:ind w:left="1495" w:hanging="360"/>
      </w:pPr>
      <w:rPr>
        <w:rFonts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6" w15:restartNumberingAfterBreak="0">
    <w:nsid w:val="0B7E0C48"/>
    <w:multiLevelType w:val="hybridMultilevel"/>
    <w:tmpl w:val="63CC1A1E"/>
    <w:lvl w:ilvl="0" w:tplc="0809000F">
      <w:start w:val="1"/>
      <w:numFmt w:val="decimal"/>
      <w:lvlText w:val="%1."/>
      <w:lvlJc w:val="left"/>
      <w:pPr>
        <w:ind w:left="7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133DB"/>
    <w:multiLevelType w:val="hybridMultilevel"/>
    <w:tmpl w:val="1F82198E"/>
    <w:lvl w:ilvl="0" w:tplc="387666E6">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37DEE"/>
    <w:multiLevelType w:val="hybridMultilevel"/>
    <w:tmpl w:val="27E4D872"/>
    <w:lvl w:ilvl="0" w:tplc="21BCA9D2">
      <w:start w:val="1"/>
      <w:numFmt w:val="lowerLetter"/>
      <w:lvlText w:val="%1)"/>
      <w:lvlJc w:val="left"/>
      <w:pPr>
        <w:tabs>
          <w:tab w:val="num" w:pos="1080"/>
        </w:tabs>
        <w:ind w:left="1080" w:hanging="360"/>
      </w:pPr>
      <w:rPr>
        <w:rFonts w:hint="default"/>
        <w:color w:val="000000" w:themeColor="text1"/>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13C4DF0"/>
    <w:multiLevelType w:val="hybridMultilevel"/>
    <w:tmpl w:val="238E897A"/>
    <w:lvl w:ilvl="0" w:tplc="08090001">
      <w:start w:val="1"/>
      <w:numFmt w:val="bullet"/>
      <w:lvlText w:val=""/>
      <w:lvlJc w:val="left"/>
      <w:pPr>
        <w:ind w:left="2324" w:hanging="360"/>
      </w:pPr>
      <w:rPr>
        <w:rFonts w:ascii="Symbol" w:hAnsi="Symbol" w:hint="default"/>
      </w:rPr>
    </w:lvl>
    <w:lvl w:ilvl="1" w:tplc="08090003">
      <w:start w:val="1"/>
      <w:numFmt w:val="bullet"/>
      <w:lvlText w:val="o"/>
      <w:lvlJc w:val="left"/>
      <w:pPr>
        <w:ind w:left="3044" w:hanging="360"/>
      </w:pPr>
      <w:rPr>
        <w:rFonts w:ascii="Courier New" w:hAnsi="Courier New" w:cs="Courier New" w:hint="default"/>
      </w:rPr>
    </w:lvl>
    <w:lvl w:ilvl="2" w:tplc="08090005" w:tentative="1">
      <w:start w:val="1"/>
      <w:numFmt w:val="bullet"/>
      <w:lvlText w:val=""/>
      <w:lvlJc w:val="left"/>
      <w:pPr>
        <w:ind w:left="3764" w:hanging="360"/>
      </w:pPr>
      <w:rPr>
        <w:rFonts w:ascii="Wingdings" w:hAnsi="Wingdings" w:hint="default"/>
      </w:rPr>
    </w:lvl>
    <w:lvl w:ilvl="3" w:tplc="08090001" w:tentative="1">
      <w:start w:val="1"/>
      <w:numFmt w:val="bullet"/>
      <w:lvlText w:val=""/>
      <w:lvlJc w:val="left"/>
      <w:pPr>
        <w:ind w:left="4484" w:hanging="360"/>
      </w:pPr>
      <w:rPr>
        <w:rFonts w:ascii="Symbol" w:hAnsi="Symbol" w:hint="default"/>
      </w:rPr>
    </w:lvl>
    <w:lvl w:ilvl="4" w:tplc="08090003" w:tentative="1">
      <w:start w:val="1"/>
      <w:numFmt w:val="bullet"/>
      <w:lvlText w:val="o"/>
      <w:lvlJc w:val="left"/>
      <w:pPr>
        <w:ind w:left="5204" w:hanging="360"/>
      </w:pPr>
      <w:rPr>
        <w:rFonts w:ascii="Courier New" w:hAnsi="Courier New" w:cs="Courier New" w:hint="default"/>
      </w:rPr>
    </w:lvl>
    <w:lvl w:ilvl="5" w:tplc="08090005" w:tentative="1">
      <w:start w:val="1"/>
      <w:numFmt w:val="bullet"/>
      <w:lvlText w:val=""/>
      <w:lvlJc w:val="left"/>
      <w:pPr>
        <w:ind w:left="5924" w:hanging="360"/>
      </w:pPr>
      <w:rPr>
        <w:rFonts w:ascii="Wingdings" w:hAnsi="Wingdings" w:hint="default"/>
      </w:rPr>
    </w:lvl>
    <w:lvl w:ilvl="6" w:tplc="08090001" w:tentative="1">
      <w:start w:val="1"/>
      <w:numFmt w:val="bullet"/>
      <w:lvlText w:val=""/>
      <w:lvlJc w:val="left"/>
      <w:pPr>
        <w:ind w:left="6644" w:hanging="360"/>
      </w:pPr>
      <w:rPr>
        <w:rFonts w:ascii="Symbol" w:hAnsi="Symbol" w:hint="default"/>
      </w:rPr>
    </w:lvl>
    <w:lvl w:ilvl="7" w:tplc="08090003" w:tentative="1">
      <w:start w:val="1"/>
      <w:numFmt w:val="bullet"/>
      <w:lvlText w:val="o"/>
      <w:lvlJc w:val="left"/>
      <w:pPr>
        <w:ind w:left="7364" w:hanging="360"/>
      </w:pPr>
      <w:rPr>
        <w:rFonts w:ascii="Courier New" w:hAnsi="Courier New" w:cs="Courier New" w:hint="default"/>
      </w:rPr>
    </w:lvl>
    <w:lvl w:ilvl="8" w:tplc="08090005" w:tentative="1">
      <w:start w:val="1"/>
      <w:numFmt w:val="bullet"/>
      <w:lvlText w:val=""/>
      <w:lvlJc w:val="left"/>
      <w:pPr>
        <w:ind w:left="8084" w:hanging="360"/>
      </w:pPr>
      <w:rPr>
        <w:rFonts w:ascii="Wingdings" w:hAnsi="Wingdings" w:hint="default"/>
      </w:rPr>
    </w:lvl>
  </w:abstractNum>
  <w:abstractNum w:abstractNumId="10" w15:restartNumberingAfterBreak="0">
    <w:nsid w:val="12FB5A82"/>
    <w:multiLevelType w:val="hybridMultilevel"/>
    <w:tmpl w:val="D25826D2"/>
    <w:lvl w:ilvl="0" w:tplc="6D26CE12">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80FC5"/>
    <w:multiLevelType w:val="hybridMultilevel"/>
    <w:tmpl w:val="07D001F8"/>
    <w:lvl w:ilvl="0" w:tplc="A21EEADC">
      <w:start w:val="1"/>
      <w:numFmt w:val="bullet"/>
      <w:pStyle w:val="Bulletpoints"/>
      <w:lvlText w:val=""/>
      <w:lvlJc w:val="left"/>
      <w:pPr>
        <w:ind w:left="1080" w:hanging="360"/>
      </w:pPr>
      <w:rPr>
        <w:rFonts w:ascii="Symbol" w:hAnsi="Symbol" w:hint="default"/>
      </w:rPr>
    </w:lvl>
    <w:lvl w:ilvl="1" w:tplc="8078F300">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70A25DC0">
      <w:start w:val="1"/>
      <w:numFmt w:val="lowerLetter"/>
      <w:lvlText w:val="%4)"/>
      <w:lvlJc w:val="left"/>
      <w:pPr>
        <w:ind w:left="3240" w:hanging="360"/>
      </w:pPr>
      <w:rPr>
        <w:rFonts w:cs="Times New Roman" w:hint="default"/>
        <w:color w:val="auto"/>
      </w:rPr>
    </w:lvl>
    <w:lvl w:ilvl="4" w:tplc="E62837CA">
      <w:start w:val="35"/>
      <w:numFmt w:val="decimal"/>
      <w:lvlText w:val="%5."/>
      <w:lvlJc w:val="left"/>
      <w:pPr>
        <w:ind w:left="3960" w:hanging="360"/>
      </w:pPr>
      <w:rPr>
        <w:rFonts w:eastAsia="Calibri"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F05B5C"/>
    <w:multiLevelType w:val="hybridMultilevel"/>
    <w:tmpl w:val="5BAA1024"/>
    <w:lvl w:ilvl="0" w:tplc="4C360C24">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D91413"/>
    <w:multiLevelType w:val="hybridMultilevel"/>
    <w:tmpl w:val="B5528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762752"/>
    <w:multiLevelType w:val="hybridMultilevel"/>
    <w:tmpl w:val="7BE0A8A2"/>
    <w:lvl w:ilvl="0" w:tplc="D4F8CE0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E4382"/>
    <w:multiLevelType w:val="hybridMultilevel"/>
    <w:tmpl w:val="496ADAEC"/>
    <w:lvl w:ilvl="0" w:tplc="7E2CCF6E">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E369D4"/>
    <w:multiLevelType w:val="hybridMultilevel"/>
    <w:tmpl w:val="5364B130"/>
    <w:lvl w:ilvl="0" w:tplc="9440E010">
      <w:start w:val="4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44680D"/>
    <w:multiLevelType w:val="hybridMultilevel"/>
    <w:tmpl w:val="C6D67920"/>
    <w:lvl w:ilvl="0" w:tplc="08090001">
      <w:start w:val="1"/>
      <w:numFmt w:val="bullet"/>
      <w:lvlText w:val=""/>
      <w:lvlJc w:val="left"/>
      <w:pPr>
        <w:ind w:left="1080" w:hanging="360"/>
      </w:pPr>
      <w:rPr>
        <w:rFonts w:ascii="Symbol" w:hAnsi="Symbol" w:hint="default"/>
      </w:rPr>
    </w:lvl>
    <w:lvl w:ilvl="1" w:tplc="EEE8E2C0">
      <w:start w:val="1"/>
      <w:numFmt w:val="lowerRoman"/>
      <w:lvlText w:val="%2."/>
      <w:lvlJc w:val="left"/>
      <w:pPr>
        <w:ind w:left="1800" w:hanging="360"/>
      </w:pPr>
      <w:rPr>
        <w:rFonts w:hint="default"/>
        <w:color w:val="auto"/>
      </w:rPr>
    </w:lvl>
    <w:lvl w:ilvl="2" w:tplc="A26223E6">
      <w:start w:val="46"/>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F44880"/>
    <w:multiLevelType w:val="hybridMultilevel"/>
    <w:tmpl w:val="333AC85C"/>
    <w:lvl w:ilvl="0" w:tplc="F112DB4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241B34"/>
    <w:multiLevelType w:val="hybridMultilevel"/>
    <w:tmpl w:val="82CA0EAC"/>
    <w:lvl w:ilvl="0" w:tplc="879E4E5A">
      <w:start w:val="3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B04E0A"/>
    <w:multiLevelType w:val="hybridMultilevel"/>
    <w:tmpl w:val="DE40D810"/>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180"/>
      </w:pPr>
      <w:rPr>
        <w:rFonts w:ascii="Wingdings" w:hAnsi="Wingdings" w:hint="default"/>
      </w:rPr>
    </w:lvl>
    <w:lvl w:ilvl="3" w:tplc="0809000F">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352083"/>
    <w:multiLevelType w:val="hybridMultilevel"/>
    <w:tmpl w:val="41EC5BDC"/>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22" w15:restartNumberingAfterBreak="0">
    <w:nsid w:val="44A069D9"/>
    <w:multiLevelType w:val="hybridMultilevel"/>
    <w:tmpl w:val="CFD49C58"/>
    <w:lvl w:ilvl="0" w:tplc="CFAA5984">
      <w:start w:val="3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285E98"/>
    <w:multiLevelType w:val="hybridMultilevel"/>
    <w:tmpl w:val="328812FE"/>
    <w:lvl w:ilvl="0" w:tplc="0809000F">
      <w:start w:val="1"/>
      <w:numFmt w:val="decimal"/>
      <w:lvlText w:val="%1."/>
      <w:lvlJc w:val="left"/>
      <w:pPr>
        <w:ind w:left="7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42370B"/>
    <w:multiLevelType w:val="hybridMultilevel"/>
    <w:tmpl w:val="EC029EDA"/>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2B1E83"/>
    <w:multiLevelType w:val="hybridMultilevel"/>
    <w:tmpl w:val="2A08CB22"/>
    <w:lvl w:ilvl="0" w:tplc="E77E664A">
      <w:start w:val="4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F06"/>
    <w:multiLevelType w:val="hybridMultilevel"/>
    <w:tmpl w:val="33C6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A68D4"/>
    <w:multiLevelType w:val="hybridMultilevel"/>
    <w:tmpl w:val="F27E8CB2"/>
    <w:lvl w:ilvl="0" w:tplc="08090001">
      <w:start w:val="1"/>
      <w:numFmt w:val="bullet"/>
      <w:lvlText w:val=""/>
      <w:lvlJc w:val="left"/>
      <w:pPr>
        <w:ind w:left="1150" w:hanging="360"/>
      </w:pPr>
      <w:rPr>
        <w:rFonts w:ascii="Symbol" w:hAnsi="Symbol" w:hint="default"/>
      </w:rPr>
    </w:lvl>
    <w:lvl w:ilvl="1" w:tplc="08090003">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8" w15:restartNumberingAfterBreak="0">
    <w:nsid w:val="583A74A3"/>
    <w:multiLevelType w:val="hybridMultilevel"/>
    <w:tmpl w:val="5764F466"/>
    <w:lvl w:ilvl="0" w:tplc="0809000F">
      <w:start w:val="1"/>
      <w:numFmt w:val="decimal"/>
      <w:lvlText w:val="%1."/>
      <w:lvlJc w:val="left"/>
      <w:pPr>
        <w:ind w:left="7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3706F"/>
    <w:multiLevelType w:val="hybridMultilevel"/>
    <w:tmpl w:val="C22C843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30" w15:restartNumberingAfterBreak="0">
    <w:nsid w:val="63C67ADD"/>
    <w:multiLevelType w:val="hybridMultilevel"/>
    <w:tmpl w:val="A246C5DE"/>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1" w15:restartNumberingAfterBreak="0">
    <w:nsid w:val="651C3354"/>
    <w:multiLevelType w:val="hybridMultilevel"/>
    <w:tmpl w:val="9FAE3EE6"/>
    <w:lvl w:ilvl="0" w:tplc="9B2C63FA">
      <w:start w:val="1"/>
      <w:numFmt w:val="bullet"/>
      <w:lvlText w:val=""/>
      <w:lvlJc w:val="left"/>
      <w:pPr>
        <w:tabs>
          <w:tab w:val="num" w:pos="1080"/>
        </w:tabs>
        <w:ind w:left="1080" w:hanging="360"/>
      </w:pPr>
      <w:rPr>
        <w:rFonts w:ascii="Wingdings" w:hAnsi="Wingdings" w:hint="default"/>
        <w:color w:val="000080"/>
      </w:rPr>
    </w:lvl>
    <w:lvl w:ilvl="1" w:tplc="08090017">
      <w:start w:val="1"/>
      <w:numFmt w:val="lowerLetter"/>
      <w:lvlText w:val="%2)"/>
      <w:lvlJc w:val="left"/>
      <w:pPr>
        <w:tabs>
          <w:tab w:val="num" w:pos="1440"/>
        </w:tabs>
        <w:ind w:left="1440" w:hanging="360"/>
      </w:pPr>
      <w:rPr>
        <w:rFonts w:hint="default"/>
        <w:color w:val="00008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450C4"/>
    <w:multiLevelType w:val="hybridMultilevel"/>
    <w:tmpl w:val="90B6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D72A0D"/>
    <w:multiLevelType w:val="hybridMultilevel"/>
    <w:tmpl w:val="D16CC3B0"/>
    <w:lvl w:ilvl="0" w:tplc="F64EB46A">
      <w:start w:val="40"/>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0944E8"/>
    <w:multiLevelType w:val="hybridMultilevel"/>
    <w:tmpl w:val="8BFE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76C00"/>
    <w:multiLevelType w:val="hybridMultilevel"/>
    <w:tmpl w:val="FAB0C24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C41382"/>
    <w:multiLevelType w:val="hybridMultilevel"/>
    <w:tmpl w:val="26F4C496"/>
    <w:lvl w:ilvl="0" w:tplc="32008154">
      <w:start w:val="4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A403B5"/>
    <w:multiLevelType w:val="hybridMultilevel"/>
    <w:tmpl w:val="BC766C5C"/>
    <w:lvl w:ilvl="0" w:tplc="A6F6CDE2">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BA0CC9"/>
    <w:multiLevelType w:val="hybridMultilevel"/>
    <w:tmpl w:val="9660872A"/>
    <w:lvl w:ilvl="0" w:tplc="4EEC31C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1A0084"/>
    <w:multiLevelType w:val="hybridMultilevel"/>
    <w:tmpl w:val="DD7C7804"/>
    <w:lvl w:ilvl="0" w:tplc="31341E82">
      <w:start w:val="33"/>
      <w:numFmt w:val="decimal"/>
      <w:pStyle w:val="bParagraphtext"/>
      <w:lvlText w:val="%1."/>
      <w:lvlJc w:val="left"/>
      <w:pPr>
        <w:ind w:left="360" w:hanging="360"/>
      </w:pPr>
      <w:rPr>
        <w:rFonts w:hint="default"/>
      </w:rPr>
    </w:lvl>
    <w:lvl w:ilvl="1" w:tplc="D1183F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4"/>
  </w:num>
  <w:num w:numId="3">
    <w:abstractNumId w:val="2"/>
  </w:num>
  <w:num w:numId="4">
    <w:abstractNumId w:val="0"/>
  </w:num>
  <w:num w:numId="5">
    <w:abstractNumId w:val="20"/>
  </w:num>
  <w:num w:numId="6">
    <w:abstractNumId w:val="17"/>
  </w:num>
  <w:num w:numId="7">
    <w:abstractNumId w:val="21"/>
  </w:num>
  <w:num w:numId="8">
    <w:abstractNumId w:val="4"/>
  </w:num>
  <w:num w:numId="9">
    <w:abstractNumId w:val="32"/>
  </w:num>
  <w:num w:numId="10">
    <w:abstractNumId w:val="31"/>
  </w:num>
  <w:num w:numId="11">
    <w:abstractNumId w:val="5"/>
  </w:num>
  <w:num w:numId="12">
    <w:abstractNumId w:val="28"/>
  </w:num>
  <w:num w:numId="13">
    <w:abstractNumId w:val="8"/>
  </w:num>
  <w:num w:numId="14">
    <w:abstractNumId w:val="40"/>
  </w:num>
  <w:num w:numId="15">
    <w:abstractNumId w:val="27"/>
  </w:num>
  <w:num w:numId="16">
    <w:abstractNumId w:val="1"/>
  </w:num>
  <w:num w:numId="17">
    <w:abstractNumId w:val="9"/>
  </w:num>
  <w:num w:numId="18">
    <w:abstractNumId w:val="29"/>
  </w:num>
  <w:num w:numId="19">
    <w:abstractNumId w:val="6"/>
  </w:num>
  <w:num w:numId="20">
    <w:abstractNumId w:val="23"/>
  </w:num>
  <w:num w:numId="21">
    <w:abstractNumId w:val="30"/>
  </w:num>
  <w:num w:numId="22">
    <w:abstractNumId w:val="13"/>
  </w:num>
  <w:num w:numId="23">
    <w:abstractNumId w:val="22"/>
  </w:num>
  <w:num w:numId="24">
    <w:abstractNumId w:val="33"/>
  </w:num>
  <w:num w:numId="25">
    <w:abstractNumId w:val="36"/>
  </w:num>
  <w:num w:numId="26">
    <w:abstractNumId w:val="26"/>
  </w:num>
  <w:num w:numId="27">
    <w:abstractNumId w:val="35"/>
  </w:num>
  <w:num w:numId="28">
    <w:abstractNumId w:val="24"/>
  </w:num>
  <w:num w:numId="29">
    <w:abstractNumId w:val="18"/>
  </w:num>
  <w:num w:numId="30">
    <w:abstractNumId w:val="15"/>
  </w:num>
  <w:num w:numId="31">
    <w:abstractNumId w:val="10"/>
  </w:num>
  <w:num w:numId="32">
    <w:abstractNumId w:val="12"/>
  </w:num>
  <w:num w:numId="33">
    <w:abstractNumId w:val="3"/>
  </w:num>
  <w:num w:numId="34">
    <w:abstractNumId w:val="7"/>
  </w:num>
  <w:num w:numId="35">
    <w:abstractNumId w:val="38"/>
  </w:num>
  <w:num w:numId="36">
    <w:abstractNumId w:val="14"/>
  </w:num>
  <w:num w:numId="37">
    <w:abstractNumId w:val="39"/>
  </w:num>
  <w:num w:numId="38">
    <w:abstractNumId w:val="19"/>
  </w:num>
  <w:num w:numId="39">
    <w:abstractNumId w:val="16"/>
  </w:num>
  <w:num w:numId="40">
    <w:abstractNumId w:val="25"/>
  </w:num>
  <w:num w:numId="41">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121"/>
    <w:rsid w:val="00000796"/>
    <w:rsid w:val="00000801"/>
    <w:rsid w:val="00001615"/>
    <w:rsid w:val="000017A0"/>
    <w:rsid w:val="00001F53"/>
    <w:rsid w:val="0000244F"/>
    <w:rsid w:val="00002A6D"/>
    <w:rsid w:val="00002DE1"/>
    <w:rsid w:val="00003C7D"/>
    <w:rsid w:val="00003F37"/>
    <w:rsid w:val="00004448"/>
    <w:rsid w:val="0000468F"/>
    <w:rsid w:val="000046A8"/>
    <w:rsid w:val="000055D7"/>
    <w:rsid w:val="00005687"/>
    <w:rsid w:val="00006CD9"/>
    <w:rsid w:val="00006EE7"/>
    <w:rsid w:val="00011409"/>
    <w:rsid w:val="00013557"/>
    <w:rsid w:val="0001377A"/>
    <w:rsid w:val="000148E2"/>
    <w:rsid w:val="00014B46"/>
    <w:rsid w:val="00015264"/>
    <w:rsid w:val="000152DD"/>
    <w:rsid w:val="00016AF4"/>
    <w:rsid w:val="0002042E"/>
    <w:rsid w:val="0002084D"/>
    <w:rsid w:val="00022161"/>
    <w:rsid w:val="0002234D"/>
    <w:rsid w:val="00023C36"/>
    <w:rsid w:val="0002616A"/>
    <w:rsid w:val="00026D0F"/>
    <w:rsid w:val="00026D54"/>
    <w:rsid w:val="00027E8E"/>
    <w:rsid w:val="00027EEA"/>
    <w:rsid w:val="000306A5"/>
    <w:rsid w:val="00030814"/>
    <w:rsid w:val="00031F67"/>
    <w:rsid w:val="0003318D"/>
    <w:rsid w:val="00033407"/>
    <w:rsid w:val="0003345F"/>
    <w:rsid w:val="00033F8C"/>
    <w:rsid w:val="000341ED"/>
    <w:rsid w:val="00035FE8"/>
    <w:rsid w:val="00036B31"/>
    <w:rsid w:val="00036B83"/>
    <w:rsid w:val="0003781E"/>
    <w:rsid w:val="000403CF"/>
    <w:rsid w:val="000405E7"/>
    <w:rsid w:val="000409F1"/>
    <w:rsid w:val="00040FE0"/>
    <w:rsid w:val="00041C79"/>
    <w:rsid w:val="00041DBF"/>
    <w:rsid w:val="00042A94"/>
    <w:rsid w:val="00042E19"/>
    <w:rsid w:val="00042FD7"/>
    <w:rsid w:val="000433C7"/>
    <w:rsid w:val="00044604"/>
    <w:rsid w:val="000454EF"/>
    <w:rsid w:val="0004559A"/>
    <w:rsid w:val="0004668D"/>
    <w:rsid w:val="00046E29"/>
    <w:rsid w:val="00046F8E"/>
    <w:rsid w:val="00047769"/>
    <w:rsid w:val="000500E3"/>
    <w:rsid w:val="00050969"/>
    <w:rsid w:val="000515AC"/>
    <w:rsid w:val="000527E1"/>
    <w:rsid w:val="00052AE4"/>
    <w:rsid w:val="00052F09"/>
    <w:rsid w:val="0005334B"/>
    <w:rsid w:val="00054003"/>
    <w:rsid w:val="000552C7"/>
    <w:rsid w:val="00056263"/>
    <w:rsid w:val="00056945"/>
    <w:rsid w:val="0006080A"/>
    <w:rsid w:val="00061CDD"/>
    <w:rsid w:val="0006247D"/>
    <w:rsid w:val="00062BEC"/>
    <w:rsid w:val="0006315A"/>
    <w:rsid w:val="00063401"/>
    <w:rsid w:val="000651D3"/>
    <w:rsid w:val="00065297"/>
    <w:rsid w:val="00066AAC"/>
    <w:rsid w:val="000670D8"/>
    <w:rsid w:val="00067B8A"/>
    <w:rsid w:val="000700E7"/>
    <w:rsid w:val="00070B55"/>
    <w:rsid w:val="000719A5"/>
    <w:rsid w:val="00071B82"/>
    <w:rsid w:val="00071EA0"/>
    <w:rsid w:val="00072918"/>
    <w:rsid w:val="00072E78"/>
    <w:rsid w:val="000731FA"/>
    <w:rsid w:val="00074897"/>
    <w:rsid w:val="00075169"/>
    <w:rsid w:val="00076048"/>
    <w:rsid w:val="000761E0"/>
    <w:rsid w:val="00076698"/>
    <w:rsid w:val="00077AB1"/>
    <w:rsid w:val="0008046C"/>
    <w:rsid w:val="0008087E"/>
    <w:rsid w:val="00081C07"/>
    <w:rsid w:val="00084584"/>
    <w:rsid w:val="000851F2"/>
    <w:rsid w:val="00086317"/>
    <w:rsid w:val="0008651B"/>
    <w:rsid w:val="00087185"/>
    <w:rsid w:val="00087524"/>
    <w:rsid w:val="00087F77"/>
    <w:rsid w:val="000901E3"/>
    <w:rsid w:val="00090350"/>
    <w:rsid w:val="000907D2"/>
    <w:rsid w:val="000908BF"/>
    <w:rsid w:val="000909AE"/>
    <w:rsid w:val="00090F74"/>
    <w:rsid w:val="0009116B"/>
    <w:rsid w:val="000911F3"/>
    <w:rsid w:val="00091A57"/>
    <w:rsid w:val="00091D62"/>
    <w:rsid w:val="0009213C"/>
    <w:rsid w:val="0009227E"/>
    <w:rsid w:val="0009242D"/>
    <w:rsid w:val="000925F6"/>
    <w:rsid w:val="00093DE6"/>
    <w:rsid w:val="0009448D"/>
    <w:rsid w:val="00094D1E"/>
    <w:rsid w:val="00094D77"/>
    <w:rsid w:val="00095112"/>
    <w:rsid w:val="00095D72"/>
    <w:rsid w:val="00096293"/>
    <w:rsid w:val="000967E9"/>
    <w:rsid w:val="000973F8"/>
    <w:rsid w:val="0009753F"/>
    <w:rsid w:val="00097FFC"/>
    <w:rsid w:val="000A0AFD"/>
    <w:rsid w:val="000A1460"/>
    <w:rsid w:val="000A1703"/>
    <w:rsid w:val="000A18C0"/>
    <w:rsid w:val="000A1D3E"/>
    <w:rsid w:val="000A2AA5"/>
    <w:rsid w:val="000A2BAF"/>
    <w:rsid w:val="000A3409"/>
    <w:rsid w:val="000A3B4C"/>
    <w:rsid w:val="000A4CA2"/>
    <w:rsid w:val="000A6BA1"/>
    <w:rsid w:val="000B0272"/>
    <w:rsid w:val="000B17F5"/>
    <w:rsid w:val="000B1DBE"/>
    <w:rsid w:val="000B22AA"/>
    <w:rsid w:val="000B26A3"/>
    <w:rsid w:val="000B280E"/>
    <w:rsid w:val="000B3050"/>
    <w:rsid w:val="000B366D"/>
    <w:rsid w:val="000B3A12"/>
    <w:rsid w:val="000B44CB"/>
    <w:rsid w:val="000B4FFC"/>
    <w:rsid w:val="000B6B79"/>
    <w:rsid w:val="000B711E"/>
    <w:rsid w:val="000B7781"/>
    <w:rsid w:val="000B790A"/>
    <w:rsid w:val="000C01D2"/>
    <w:rsid w:val="000C11C5"/>
    <w:rsid w:val="000C1355"/>
    <w:rsid w:val="000C143A"/>
    <w:rsid w:val="000C34F2"/>
    <w:rsid w:val="000C480C"/>
    <w:rsid w:val="000C5168"/>
    <w:rsid w:val="000C56AB"/>
    <w:rsid w:val="000C5CA1"/>
    <w:rsid w:val="000C5CC9"/>
    <w:rsid w:val="000C7969"/>
    <w:rsid w:val="000C7D95"/>
    <w:rsid w:val="000D03F5"/>
    <w:rsid w:val="000D139F"/>
    <w:rsid w:val="000D1680"/>
    <w:rsid w:val="000D2952"/>
    <w:rsid w:val="000D39E1"/>
    <w:rsid w:val="000D4065"/>
    <w:rsid w:val="000D4472"/>
    <w:rsid w:val="000D4A39"/>
    <w:rsid w:val="000D6B54"/>
    <w:rsid w:val="000D7025"/>
    <w:rsid w:val="000D75E5"/>
    <w:rsid w:val="000E1129"/>
    <w:rsid w:val="000E194D"/>
    <w:rsid w:val="000E47F3"/>
    <w:rsid w:val="000E565C"/>
    <w:rsid w:val="000E5A24"/>
    <w:rsid w:val="000E6258"/>
    <w:rsid w:val="000E6817"/>
    <w:rsid w:val="000F0941"/>
    <w:rsid w:val="000F2367"/>
    <w:rsid w:val="000F3187"/>
    <w:rsid w:val="000F32AB"/>
    <w:rsid w:val="000F51FB"/>
    <w:rsid w:val="000F5AB8"/>
    <w:rsid w:val="000F7BF7"/>
    <w:rsid w:val="0010093F"/>
    <w:rsid w:val="001012FF"/>
    <w:rsid w:val="0010339A"/>
    <w:rsid w:val="0010402D"/>
    <w:rsid w:val="00105A88"/>
    <w:rsid w:val="00106B4E"/>
    <w:rsid w:val="00106D5B"/>
    <w:rsid w:val="00107DF2"/>
    <w:rsid w:val="00111976"/>
    <w:rsid w:val="00111A9E"/>
    <w:rsid w:val="00111ACB"/>
    <w:rsid w:val="001124AD"/>
    <w:rsid w:val="00113398"/>
    <w:rsid w:val="001167B2"/>
    <w:rsid w:val="00117F1E"/>
    <w:rsid w:val="00120E99"/>
    <w:rsid w:val="00121B5A"/>
    <w:rsid w:val="00123FCB"/>
    <w:rsid w:val="00124796"/>
    <w:rsid w:val="00124BC9"/>
    <w:rsid w:val="00124E70"/>
    <w:rsid w:val="00125722"/>
    <w:rsid w:val="00131620"/>
    <w:rsid w:val="00131907"/>
    <w:rsid w:val="0013316B"/>
    <w:rsid w:val="00133F0E"/>
    <w:rsid w:val="001341E8"/>
    <w:rsid w:val="00135ABC"/>
    <w:rsid w:val="00136D03"/>
    <w:rsid w:val="00137B85"/>
    <w:rsid w:val="0014004E"/>
    <w:rsid w:val="001416DD"/>
    <w:rsid w:val="00142103"/>
    <w:rsid w:val="00142175"/>
    <w:rsid w:val="001427E1"/>
    <w:rsid w:val="00143CAE"/>
    <w:rsid w:val="00144F8E"/>
    <w:rsid w:val="001450F5"/>
    <w:rsid w:val="00145219"/>
    <w:rsid w:val="00146DDD"/>
    <w:rsid w:val="00147B5A"/>
    <w:rsid w:val="00147DDB"/>
    <w:rsid w:val="00150735"/>
    <w:rsid w:val="001507C4"/>
    <w:rsid w:val="001509CB"/>
    <w:rsid w:val="0015383C"/>
    <w:rsid w:val="00153D29"/>
    <w:rsid w:val="00153EA3"/>
    <w:rsid w:val="001542C7"/>
    <w:rsid w:val="001543E6"/>
    <w:rsid w:val="0015635F"/>
    <w:rsid w:val="00156624"/>
    <w:rsid w:val="0015678D"/>
    <w:rsid w:val="001570E1"/>
    <w:rsid w:val="00157FF8"/>
    <w:rsid w:val="00160614"/>
    <w:rsid w:val="001626FF"/>
    <w:rsid w:val="00163249"/>
    <w:rsid w:val="00163E6D"/>
    <w:rsid w:val="001643B0"/>
    <w:rsid w:val="0016558A"/>
    <w:rsid w:val="001667C4"/>
    <w:rsid w:val="00166E33"/>
    <w:rsid w:val="0016721A"/>
    <w:rsid w:val="00167287"/>
    <w:rsid w:val="00167B6A"/>
    <w:rsid w:val="0017012D"/>
    <w:rsid w:val="001701DE"/>
    <w:rsid w:val="0017078C"/>
    <w:rsid w:val="00170E22"/>
    <w:rsid w:val="001718F2"/>
    <w:rsid w:val="00173063"/>
    <w:rsid w:val="00173676"/>
    <w:rsid w:val="0017448C"/>
    <w:rsid w:val="001749AA"/>
    <w:rsid w:val="00174B19"/>
    <w:rsid w:val="00174C2A"/>
    <w:rsid w:val="00175F14"/>
    <w:rsid w:val="001771D2"/>
    <w:rsid w:val="0018195F"/>
    <w:rsid w:val="00182F0A"/>
    <w:rsid w:val="0018345C"/>
    <w:rsid w:val="00183BCD"/>
    <w:rsid w:val="00184310"/>
    <w:rsid w:val="00185A24"/>
    <w:rsid w:val="001860AC"/>
    <w:rsid w:val="001869A9"/>
    <w:rsid w:val="00187083"/>
    <w:rsid w:val="00190022"/>
    <w:rsid w:val="00190B23"/>
    <w:rsid w:val="00190E00"/>
    <w:rsid w:val="00190F4E"/>
    <w:rsid w:val="001913B3"/>
    <w:rsid w:val="00192F92"/>
    <w:rsid w:val="0019390A"/>
    <w:rsid w:val="00193ACD"/>
    <w:rsid w:val="001948EF"/>
    <w:rsid w:val="00195327"/>
    <w:rsid w:val="001953E3"/>
    <w:rsid w:val="0019639E"/>
    <w:rsid w:val="00196E70"/>
    <w:rsid w:val="001A0CCB"/>
    <w:rsid w:val="001A402E"/>
    <w:rsid w:val="001A43DD"/>
    <w:rsid w:val="001A54CF"/>
    <w:rsid w:val="001A704F"/>
    <w:rsid w:val="001A783D"/>
    <w:rsid w:val="001A7CEA"/>
    <w:rsid w:val="001A7E9E"/>
    <w:rsid w:val="001B00EF"/>
    <w:rsid w:val="001B084F"/>
    <w:rsid w:val="001B0A3E"/>
    <w:rsid w:val="001B1636"/>
    <w:rsid w:val="001B2550"/>
    <w:rsid w:val="001B289F"/>
    <w:rsid w:val="001B346B"/>
    <w:rsid w:val="001B42FC"/>
    <w:rsid w:val="001B4707"/>
    <w:rsid w:val="001B4771"/>
    <w:rsid w:val="001B5807"/>
    <w:rsid w:val="001B64A3"/>
    <w:rsid w:val="001B65B3"/>
    <w:rsid w:val="001B7C0F"/>
    <w:rsid w:val="001C0024"/>
    <w:rsid w:val="001C0F35"/>
    <w:rsid w:val="001C2061"/>
    <w:rsid w:val="001C3906"/>
    <w:rsid w:val="001C3E00"/>
    <w:rsid w:val="001C53C6"/>
    <w:rsid w:val="001C5E0F"/>
    <w:rsid w:val="001C6317"/>
    <w:rsid w:val="001C7745"/>
    <w:rsid w:val="001D016D"/>
    <w:rsid w:val="001D0B6E"/>
    <w:rsid w:val="001D0E52"/>
    <w:rsid w:val="001D1776"/>
    <w:rsid w:val="001D1F21"/>
    <w:rsid w:val="001D24FF"/>
    <w:rsid w:val="001D265F"/>
    <w:rsid w:val="001D3E88"/>
    <w:rsid w:val="001D4B01"/>
    <w:rsid w:val="001D5D72"/>
    <w:rsid w:val="001D788D"/>
    <w:rsid w:val="001E0309"/>
    <w:rsid w:val="001E0C13"/>
    <w:rsid w:val="001E12E1"/>
    <w:rsid w:val="001E143D"/>
    <w:rsid w:val="001E18BE"/>
    <w:rsid w:val="001E2F3F"/>
    <w:rsid w:val="001E4463"/>
    <w:rsid w:val="001E4A65"/>
    <w:rsid w:val="001E5709"/>
    <w:rsid w:val="001E5917"/>
    <w:rsid w:val="001E5E64"/>
    <w:rsid w:val="001E7263"/>
    <w:rsid w:val="001F0225"/>
    <w:rsid w:val="001F09D5"/>
    <w:rsid w:val="001F0B7F"/>
    <w:rsid w:val="001F0DAB"/>
    <w:rsid w:val="001F1AD2"/>
    <w:rsid w:val="001F26D7"/>
    <w:rsid w:val="001F439F"/>
    <w:rsid w:val="001F4588"/>
    <w:rsid w:val="001F5C07"/>
    <w:rsid w:val="001F5CFF"/>
    <w:rsid w:val="001F7354"/>
    <w:rsid w:val="001F7413"/>
    <w:rsid w:val="001F74AB"/>
    <w:rsid w:val="001F796B"/>
    <w:rsid w:val="002003B9"/>
    <w:rsid w:val="0020073C"/>
    <w:rsid w:val="00200AA0"/>
    <w:rsid w:val="00200E6E"/>
    <w:rsid w:val="00201D70"/>
    <w:rsid w:val="002022A8"/>
    <w:rsid w:val="002036F8"/>
    <w:rsid w:val="002039DE"/>
    <w:rsid w:val="00203A65"/>
    <w:rsid w:val="00203B49"/>
    <w:rsid w:val="0020506E"/>
    <w:rsid w:val="002060B8"/>
    <w:rsid w:val="00206132"/>
    <w:rsid w:val="0020684F"/>
    <w:rsid w:val="00206D54"/>
    <w:rsid w:val="002073BE"/>
    <w:rsid w:val="002104DE"/>
    <w:rsid w:val="00210DAE"/>
    <w:rsid w:val="002131E9"/>
    <w:rsid w:val="002146DC"/>
    <w:rsid w:val="0021524C"/>
    <w:rsid w:val="00215CF8"/>
    <w:rsid w:val="0021644E"/>
    <w:rsid w:val="0021658F"/>
    <w:rsid w:val="0021676D"/>
    <w:rsid w:val="0021693F"/>
    <w:rsid w:val="00216CF7"/>
    <w:rsid w:val="00221EF2"/>
    <w:rsid w:val="00222D20"/>
    <w:rsid w:val="002258B3"/>
    <w:rsid w:val="0022596E"/>
    <w:rsid w:val="00225ADA"/>
    <w:rsid w:val="00225C59"/>
    <w:rsid w:val="0022699B"/>
    <w:rsid w:val="00226A94"/>
    <w:rsid w:val="00227495"/>
    <w:rsid w:val="00227540"/>
    <w:rsid w:val="00227B6B"/>
    <w:rsid w:val="00227DD2"/>
    <w:rsid w:val="00227E30"/>
    <w:rsid w:val="0023019A"/>
    <w:rsid w:val="00230A3A"/>
    <w:rsid w:val="00232487"/>
    <w:rsid w:val="00232636"/>
    <w:rsid w:val="00233056"/>
    <w:rsid w:val="00233862"/>
    <w:rsid w:val="00234000"/>
    <w:rsid w:val="00234621"/>
    <w:rsid w:val="00234B0F"/>
    <w:rsid w:val="00234C2B"/>
    <w:rsid w:val="00235508"/>
    <w:rsid w:val="002367CC"/>
    <w:rsid w:val="00236C9D"/>
    <w:rsid w:val="00237C71"/>
    <w:rsid w:val="00240C1D"/>
    <w:rsid w:val="0024181A"/>
    <w:rsid w:val="00242A68"/>
    <w:rsid w:val="00243A4A"/>
    <w:rsid w:val="00244063"/>
    <w:rsid w:val="002451B9"/>
    <w:rsid w:val="00246173"/>
    <w:rsid w:val="002468A6"/>
    <w:rsid w:val="00251920"/>
    <w:rsid w:val="00251FED"/>
    <w:rsid w:val="0025200E"/>
    <w:rsid w:val="002524B1"/>
    <w:rsid w:val="00253532"/>
    <w:rsid w:val="00255742"/>
    <w:rsid w:val="00255F94"/>
    <w:rsid w:val="002562AD"/>
    <w:rsid w:val="00256692"/>
    <w:rsid w:val="00256A10"/>
    <w:rsid w:val="002607A3"/>
    <w:rsid w:val="002609D1"/>
    <w:rsid w:val="00262A28"/>
    <w:rsid w:val="00263B2F"/>
    <w:rsid w:val="002649E1"/>
    <w:rsid w:val="0026567E"/>
    <w:rsid w:val="002673A2"/>
    <w:rsid w:val="00270217"/>
    <w:rsid w:val="00270C71"/>
    <w:rsid w:val="00270DA7"/>
    <w:rsid w:val="002719F1"/>
    <w:rsid w:val="00272551"/>
    <w:rsid w:val="002738FC"/>
    <w:rsid w:val="002757F0"/>
    <w:rsid w:val="002763B9"/>
    <w:rsid w:val="002763F3"/>
    <w:rsid w:val="00277FD6"/>
    <w:rsid w:val="00280C4A"/>
    <w:rsid w:val="00281147"/>
    <w:rsid w:val="00281594"/>
    <w:rsid w:val="002839F9"/>
    <w:rsid w:val="002843AC"/>
    <w:rsid w:val="00284718"/>
    <w:rsid w:val="00284FA5"/>
    <w:rsid w:val="00285236"/>
    <w:rsid w:val="00285E87"/>
    <w:rsid w:val="00287177"/>
    <w:rsid w:val="00287523"/>
    <w:rsid w:val="00287B19"/>
    <w:rsid w:val="00291CB6"/>
    <w:rsid w:val="0029333C"/>
    <w:rsid w:val="00293342"/>
    <w:rsid w:val="0029342D"/>
    <w:rsid w:val="00293933"/>
    <w:rsid w:val="00294822"/>
    <w:rsid w:val="00294C9E"/>
    <w:rsid w:val="00294F6A"/>
    <w:rsid w:val="002950EF"/>
    <w:rsid w:val="00295D59"/>
    <w:rsid w:val="0029672B"/>
    <w:rsid w:val="002968ED"/>
    <w:rsid w:val="00296FCF"/>
    <w:rsid w:val="0029733D"/>
    <w:rsid w:val="00297D1F"/>
    <w:rsid w:val="002A0CCC"/>
    <w:rsid w:val="002A1D59"/>
    <w:rsid w:val="002A1F28"/>
    <w:rsid w:val="002A213A"/>
    <w:rsid w:val="002A3493"/>
    <w:rsid w:val="002A3AB9"/>
    <w:rsid w:val="002A4AB7"/>
    <w:rsid w:val="002A4CDA"/>
    <w:rsid w:val="002A573D"/>
    <w:rsid w:val="002A6405"/>
    <w:rsid w:val="002A6EB0"/>
    <w:rsid w:val="002A6F8A"/>
    <w:rsid w:val="002A70C4"/>
    <w:rsid w:val="002A71CB"/>
    <w:rsid w:val="002A754A"/>
    <w:rsid w:val="002B0771"/>
    <w:rsid w:val="002B0DC3"/>
    <w:rsid w:val="002B1AA2"/>
    <w:rsid w:val="002B1E54"/>
    <w:rsid w:val="002B3BBA"/>
    <w:rsid w:val="002B3E8D"/>
    <w:rsid w:val="002B49DB"/>
    <w:rsid w:val="002B53F9"/>
    <w:rsid w:val="002B6CFE"/>
    <w:rsid w:val="002C0A04"/>
    <w:rsid w:val="002C0CF9"/>
    <w:rsid w:val="002C0EB4"/>
    <w:rsid w:val="002C2E3B"/>
    <w:rsid w:val="002C6518"/>
    <w:rsid w:val="002C6E73"/>
    <w:rsid w:val="002C6FFA"/>
    <w:rsid w:val="002C7A57"/>
    <w:rsid w:val="002D05EB"/>
    <w:rsid w:val="002D1328"/>
    <w:rsid w:val="002D147C"/>
    <w:rsid w:val="002D25AA"/>
    <w:rsid w:val="002D4CE1"/>
    <w:rsid w:val="002D4F4C"/>
    <w:rsid w:val="002D586D"/>
    <w:rsid w:val="002D6DCD"/>
    <w:rsid w:val="002D79C8"/>
    <w:rsid w:val="002E0EB2"/>
    <w:rsid w:val="002E0EEA"/>
    <w:rsid w:val="002E1430"/>
    <w:rsid w:val="002E1BBC"/>
    <w:rsid w:val="002E26A8"/>
    <w:rsid w:val="002E29C2"/>
    <w:rsid w:val="002E36B6"/>
    <w:rsid w:val="002E3D68"/>
    <w:rsid w:val="002E4738"/>
    <w:rsid w:val="002E5A67"/>
    <w:rsid w:val="002E5A68"/>
    <w:rsid w:val="002E5AB8"/>
    <w:rsid w:val="002E61E2"/>
    <w:rsid w:val="002E6C00"/>
    <w:rsid w:val="002E7ADC"/>
    <w:rsid w:val="002F0AA1"/>
    <w:rsid w:val="002F46A6"/>
    <w:rsid w:val="002F50DA"/>
    <w:rsid w:val="002F5E2B"/>
    <w:rsid w:val="002F65A4"/>
    <w:rsid w:val="002F7D9F"/>
    <w:rsid w:val="00300376"/>
    <w:rsid w:val="00301425"/>
    <w:rsid w:val="003016EB"/>
    <w:rsid w:val="00301CE7"/>
    <w:rsid w:val="003043C2"/>
    <w:rsid w:val="0030456A"/>
    <w:rsid w:val="00304CEC"/>
    <w:rsid w:val="00305E10"/>
    <w:rsid w:val="00306892"/>
    <w:rsid w:val="00306A83"/>
    <w:rsid w:val="00307344"/>
    <w:rsid w:val="003102B5"/>
    <w:rsid w:val="00311127"/>
    <w:rsid w:val="003112C8"/>
    <w:rsid w:val="003115FD"/>
    <w:rsid w:val="00311921"/>
    <w:rsid w:val="00312D4B"/>
    <w:rsid w:val="00312E5B"/>
    <w:rsid w:val="00312F8E"/>
    <w:rsid w:val="00314156"/>
    <w:rsid w:val="00314A42"/>
    <w:rsid w:val="0031604E"/>
    <w:rsid w:val="0031633E"/>
    <w:rsid w:val="00320A01"/>
    <w:rsid w:val="0032164D"/>
    <w:rsid w:val="00322844"/>
    <w:rsid w:val="003228CE"/>
    <w:rsid w:val="003230C6"/>
    <w:rsid w:val="00323421"/>
    <w:rsid w:val="003240D6"/>
    <w:rsid w:val="0032421C"/>
    <w:rsid w:val="003260A1"/>
    <w:rsid w:val="003265B3"/>
    <w:rsid w:val="00327963"/>
    <w:rsid w:val="0033029E"/>
    <w:rsid w:val="00330359"/>
    <w:rsid w:val="00330A46"/>
    <w:rsid w:val="00331D6F"/>
    <w:rsid w:val="00333B54"/>
    <w:rsid w:val="00334553"/>
    <w:rsid w:val="003351C0"/>
    <w:rsid w:val="00335F76"/>
    <w:rsid w:val="003369AB"/>
    <w:rsid w:val="003372A5"/>
    <w:rsid w:val="0034080D"/>
    <w:rsid w:val="0034145D"/>
    <w:rsid w:val="00342A4E"/>
    <w:rsid w:val="00342EEA"/>
    <w:rsid w:val="00343543"/>
    <w:rsid w:val="00343B3B"/>
    <w:rsid w:val="00344878"/>
    <w:rsid w:val="0034545D"/>
    <w:rsid w:val="0034597E"/>
    <w:rsid w:val="00345D9D"/>
    <w:rsid w:val="003462F7"/>
    <w:rsid w:val="003466D0"/>
    <w:rsid w:val="00346B6A"/>
    <w:rsid w:val="003478BF"/>
    <w:rsid w:val="00347B1B"/>
    <w:rsid w:val="00350EDC"/>
    <w:rsid w:val="00350FC3"/>
    <w:rsid w:val="003511A5"/>
    <w:rsid w:val="00352C27"/>
    <w:rsid w:val="00352E97"/>
    <w:rsid w:val="00353015"/>
    <w:rsid w:val="0035325A"/>
    <w:rsid w:val="00354328"/>
    <w:rsid w:val="00355B65"/>
    <w:rsid w:val="00357B20"/>
    <w:rsid w:val="003605EA"/>
    <w:rsid w:val="0036160F"/>
    <w:rsid w:val="00362245"/>
    <w:rsid w:val="0036260B"/>
    <w:rsid w:val="00363723"/>
    <w:rsid w:val="00365595"/>
    <w:rsid w:val="00365976"/>
    <w:rsid w:val="00367E93"/>
    <w:rsid w:val="003716D8"/>
    <w:rsid w:val="003740A1"/>
    <w:rsid w:val="003771FD"/>
    <w:rsid w:val="00377435"/>
    <w:rsid w:val="00380F20"/>
    <w:rsid w:val="0038154E"/>
    <w:rsid w:val="00381807"/>
    <w:rsid w:val="00381E9C"/>
    <w:rsid w:val="0038202B"/>
    <w:rsid w:val="00382525"/>
    <w:rsid w:val="00382F81"/>
    <w:rsid w:val="00383947"/>
    <w:rsid w:val="003839F1"/>
    <w:rsid w:val="00384F43"/>
    <w:rsid w:val="00384F77"/>
    <w:rsid w:val="00384FD4"/>
    <w:rsid w:val="003852A4"/>
    <w:rsid w:val="00385CB0"/>
    <w:rsid w:val="0038751D"/>
    <w:rsid w:val="0039000A"/>
    <w:rsid w:val="00390555"/>
    <w:rsid w:val="0039061E"/>
    <w:rsid w:val="00392F91"/>
    <w:rsid w:val="003935CD"/>
    <w:rsid w:val="00394651"/>
    <w:rsid w:val="003959F9"/>
    <w:rsid w:val="00396490"/>
    <w:rsid w:val="003969E2"/>
    <w:rsid w:val="00397C7E"/>
    <w:rsid w:val="00397E4E"/>
    <w:rsid w:val="003A0255"/>
    <w:rsid w:val="003A0677"/>
    <w:rsid w:val="003A2277"/>
    <w:rsid w:val="003A253A"/>
    <w:rsid w:val="003A25BA"/>
    <w:rsid w:val="003A2E92"/>
    <w:rsid w:val="003A3E7B"/>
    <w:rsid w:val="003A47F6"/>
    <w:rsid w:val="003A4AA5"/>
    <w:rsid w:val="003A5058"/>
    <w:rsid w:val="003A5587"/>
    <w:rsid w:val="003A58E4"/>
    <w:rsid w:val="003A5952"/>
    <w:rsid w:val="003A5C8F"/>
    <w:rsid w:val="003A6471"/>
    <w:rsid w:val="003A69C5"/>
    <w:rsid w:val="003A73BC"/>
    <w:rsid w:val="003A78FD"/>
    <w:rsid w:val="003A7BE5"/>
    <w:rsid w:val="003B01EC"/>
    <w:rsid w:val="003B030B"/>
    <w:rsid w:val="003B0605"/>
    <w:rsid w:val="003B1DA3"/>
    <w:rsid w:val="003B1EB9"/>
    <w:rsid w:val="003B2201"/>
    <w:rsid w:val="003B39E1"/>
    <w:rsid w:val="003B5201"/>
    <w:rsid w:val="003B64D3"/>
    <w:rsid w:val="003B6CA5"/>
    <w:rsid w:val="003B6F52"/>
    <w:rsid w:val="003C1423"/>
    <w:rsid w:val="003C1630"/>
    <w:rsid w:val="003C1956"/>
    <w:rsid w:val="003C1C4B"/>
    <w:rsid w:val="003C2468"/>
    <w:rsid w:val="003C2BDC"/>
    <w:rsid w:val="003C55A2"/>
    <w:rsid w:val="003C6717"/>
    <w:rsid w:val="003C748A"/>
    <w:rsid w:val="003D02C0"/>
    <w:rsid w:val="003D063C"/>
    <w:rsid w:val="003D0C7D"/>
    <w:rsid w:val="003D0D94"/>
    <w:rsid w:val="003D0DB8"/>
    <w:rsid w:val="003D0EB2"/>
    <w:rsid w:val="003D10E8"/>
    <w:rsid w:val="003D12CA"/>
    <w:rsid w:val="003D3A52"/>
    <w:rsid w:val="003D5203"/>
    <w:rsid w:val="003D5F50"/>
    <w:rsid w:val="003D6A62"/>
    <w:rsid w:val="003E01C8"/>
    <w:rsid w:val="003E0524"/>
    <w:rsid w:val="003E05C9"/>
    <w:rsid w:val="003E13B8"/>
    <w:rsid w:val="003E14D1"/>
    <w:rsid w:val="003E24B3"/>
    <w:rsid w:val="003E2AF8"/>
    <w:rsid w:val="003E3956"/>
    <w:rsid w:val="003E46CF"/>
    <w:rsid w:val="003E4D6D"/>
    <w:rsid w:val="003E509B"/>
    <w:rsid w:val="003E587D"/>
    <w:rsid w:val="003E76C0"/>
    <w:rsid w:val="003F2DB2"/>
    <w:rsid w:val="003F2EE3"/>
    <w:rsid w:val="003F5300"/>
    <w:rsid w:val="003F5A60"/>
    <w:rsid w:val="00401264"/>
    <w:rsid w:val="0040197F"/>
    <w:rsid w:val="00401D83"/>
    <w:rsid w:val="0040372D"/>
    <w:rsid w:val="004040C0"/>
    <w:rsid w:val="00404E1B"/>
    <w:rsid w:val="004059E3"/>
    <w:rsid w:val="004064D4"/>
    <w:rsid w:val="00410758"/>
    <w:rsid w:val="004113B6"/>
    <w:rsid w:val="004113FA"/>
    <w:rsid w:val="00411A7F"/>
    <w:rsid w:val="004120D7"/>
    <w:rsid w:val="00412B60"/>
    <w:rsid w:val="00413AE4"/>
    <w:rsid w:val="0041666B"/>
    <w:rsid w:val="004166E0"/>
    <w:rsid w:val="004170DA"/>
    <w:rsid w:val="00417531"/>
    <w:rsid w:val="0042017F"/>
    <w:rsid w:val="00420D01"/>
    <w:rsid w:val="004212A9"/>
    <w:rsid w:val="00422439"/>
    <w:rsid w:val="00423181"/>
    <w:rsid w:val="00423AEB"/>
    <w:rsid w:val="0042469C"/>
    <w:rsid w:val="00424AAF"/>
    <w:rsid w:val="00425722"/>
    <w:rsid w:val="00426456"/>
    <w:rsid w:val="00427050"/>
    <w:rsid w:val="00427869"/>
    <w:rsid w:val="00431DE4"/>
    <w:rsid w:val="004329D7"/>
    <w:rsid w:val="00433657"/>
    <w:rsid w:val="00434422"/>
    <w:rsid w:val="0043564F"/>
    <w:rsid w:val="004369C8"/>
    <w:rsid w:val="00436FAC"/>
    <w:rsid w:val="00437870"/>
    <w:rsid w:val="0044090A"/>
    <w:rsid w:val="00440912"/>
    <w:rsid w:val="00440B9C"/>
    <w:rsid w:val="00442D6B"/>
    <w:rsid w:val="00442E57"/>
    <w:rsid w:val="004435EE"/>
    <w:rsid w:val="00444129"/>
    <w:rsid w:val="004442B2"/>
    <w:rsid w:val="00444371"/>
    <w:rsid w:val="004443CF"/>
    <w:rsid w:val="004451A5"/>
    <w:rsid w:val="00445484"/>
    <w:rsid w:val="004454E6"/>
    <w:rsid w:val="00445C39"/>
    <w:rsid w:val="00446ACF"/>
    <w:rsid w:val="00446E15"/>
    <w:rsid w:val="0044744F"/>
    <w:rsid w:val="00447572"/>
    <w:rsid w:val="00447A79"/>
    <w:rsid w:val="00447FA8"/>
    <w:rsid w:val="004502D6"/>
    <w:rsid w:val="004511A3"/>
    <w:rsid w:val="00451779"/>
    <w:rsid w:val="00451876"/>
    <w:rsid w:val="00451889"/>
    <w:rsid w:val="00451D62"/>
    <w:rsid w:val="004532C8"/>
    <w:rsid w:val="00453D9B"/>
    <w:rsid w:val="00454795"/>
    <w:rsid w:val="00454BCF"/>
    <w:rsid w:val="004553E3"/>
    <w:rsid w:val="00455725"/>
    <w:rsid w:val="00455C98"/>
    <w:rsid w:val="004560B9"/>
    <w:rsid w:val="0045715F"/>
    <w:rsid w:val="004605C4"/>
    <w:rsid w:val="00460FDD"/>
    <w:rsid w:val="0046133B"/>
    <w:rsid w:val="00461654"/>
    <w:rsid w:val="00461A69"/>
    <w:rsid w:val="004634C6"/>
    <w:rsid w:val="00463665"/>
    <w:rsid w:val="004637AC"/>
    <w:rsid w:val="004645EF"/>
    <w:rsid w:val="0047064D"/>
    <w:rsid w:val="00470C84"/>
    <w:rsid w:val="004719AC"/>
    <w:rsid w:val="00471ACD"/>
    <w:rsid w:val="00471D49"/>
    <w:rsid w:val="004723C5"/>
    <w:rsid w:val="004736EE"/>
    <w:rsid w:val="004739EE"/>
    <w:rsid w:val="00473DAB"/>
    <w:rsid w:val="00474058"/>
    <w:rsid w:val="00476CEE"/>
    <w:rsid w:val="0048078D"/>
    <w:rsid w:val="004811C6"/>
    <w:rsid w:val="00481D2F"/>
    <w:rsid w:val="0048296E"/>
    <w:rsid w:val="0048313D"/>
    <w:rsid w:val="00483BE3"/>
    <w:rsid w:val="00483BE9"/>
    <w:rsid w:val="0048458E"/>
    <w:rsid w:val="00484B57"/>
    <w:rsid w:val="00486056"/>
    <w:rsid w:val="004876F5"/>
    <w:rsid w:val="00490775"/>
    <w:rsid w:val="00490E48"/>
    <w:rsid w:val="0049204D"/>
    <w:rsid w:val="0049232F"/>
    <w:rsid w:val="00492E89"/>
    <w:rsid w:val="00493890"/>
    <w:rsid w:val="00494F15"/>
    <w:rsid w:val="004976A7"/>
    <w:rsid w:val="00497A04"/>
    <w:rsid w:val="004A0460"/>
    <w:rsid w:val="004A08F6"/>
    <w:rsid w:val="004A1462"/>
    <w:rsid w:val="004A2165"/>
    <w:rsid w:val="004A30CC"/>
    <w:rsid w:val="004A3FC6"/>
    <w:rsid w:val="004A437F"/>
    <w:rsid w:val="004A4F06"/>
    <w:rsid w:val="004A528F"/>
    <w:rsid w:val="004A68FB"/>
    <w:rsid w:val="004A6CB7"/>
    <w:rsid w:val="004B184A"/>
    <w:rsid w:val="004B1B7B"/>
    <w:rsid w:val="004B2591"/>
    <w:rsid w:val="004B331F"/>
    <w:rsid w:val="004B372F"/>
    <w:rsid w:val="004B601C"/>
    <w:rsid w:val="004C05E3"/>
    <w:rsid w:val="004C07CE"/>
    <w:rsid w:val="004C08C0"/>
    <w:rsid w:val="004C0F0C"/>
    <w:rsid w:val="004C1070"/>
    <w:rsid w:val="004C1258"/>
    <w:rsid w:val="004C1891"/>
    <w:rsid w:val="004C1D9B"/>
    <w:rsid w:val="004C1DC1"/>
    <w:rsid w:val="004C3583"/>
    <w:rsid w:val="004C3F85"/>
    <w:rsid w:val="004C46AF"/>
    <w:rsid w:val="004C47BC"/>
    <w:rsid w:val="004C5ABF"/>
    <w:rsid w:val="004C5ED5"/>
    <w:rsid w:val="004C61EF"/>
    <w:rsid w:val="004C6D9D"/>
    <w:rsid w:val="004D0650"/>
    <w:rsid w:val="004D093A"/>
    <w:rsid w:val="004D0D6D"/>
    <w:rsid w:val="004D0D72"/>
    <w:rsid w:val="004D1A29"/>
    <w:rsid w:val="004D1E5E"/>
    <w:rsid w:val="004D23EA"/>
    <w:rsid w:val="004D2571"/>
    <w:rsid w:val="004D2C28"/>
    <w:rsid w:val="004D3822"/>
    <w:rsid w:val="004D3CE8"/>
    <w:rsid w:val="004D4B44"/>
    <w:rsid w:val="004D6559"/>
    <w:rsid w:val="004D763D"/>
    <w:rsid w:val="004D7EFC"/>
    <w:rsid w:val="004E1A0C"/>
    <w:rsid w:val="004E1A55"/>
    <w:rsid w:val="004E24CC"/>
    <w:rsid w:val="004E30C6"/>
    <w:rsid w:val="004E6304"/>
    <w:rsid w:val="004E63D9"/>
    <w:rsid w:val="004E6D8E"/>
    <w:rsid w:val="004E761C"/>
    <w:rsid w:val="004E775D"/>
    <w:rsid w:val="004E7A86"/>
    <w:rsid w:val="004F015F"/>
    <w:rsid w:val="004F07FD"/>
    <w:rsid w:val="004F105A"/>
    <w:rsid w:val="004F16E6"/>
    <w:rsid w:val="004F1F32"/>
    <w:rsid w:val="004F31CD"/>
    <w:rsid w:val="004F4182"/>
    <w:rsid w:val="004F4E49"/>
    <w:rsid w:val="004F5B9C"/>
    <w:rsid w:val="004F6396"/>
    <w:rsid w:val="004F73F2"/>
    <w:rsid w:val="004F7FFD"/>
    <w:rsid w:val="00500C82"/>
    <w:rsid w:val="00500EBA"/>
    <w:rsid w:val="00501E74"/>
    <w:rsid w:val="0050242F"/>
    <w:rsid w:val="005028F1"/>
    <w:rsid w:val="00502A6C"/>
    <w:rsid w:val="005030A9"/>
    <w:rsid w:val="00503BF4"/>
    <w:rsid w:val="005045D4"/>
    <w:rsid w:val="00504613"/>
    <w:rsid w:val="00504963"/>
    <w:rsid w:val="00505CAF"/>
    <w:rsid w:val="005065B5"/>
    <w:rsid w:val="00506E70"/>
    <w:rsid w:val="00507287"/>
    <w:rsid w:val="005078B2"/>
    <w:rsid w:val="00507E4C"/>
    <w:rsid w:val="0051146C"/>
    <w:rsid w:val="00511683"/>
    <w:rsid w:val="00511FEF"/>
    <w:rsid w:val="005123E7"/>
    <w:rsid w:val="0051279A"/>
    <w:rsid w:val="005128D7"/>
    <w:rsid w:val="005134E8"/>
    <w:rsid w:val="00513B51"/>
    <w:rsid w:val="00514F56"/>
    <w:rsid w:val="005153A2"/>
    <w:rsid w:val="00515BE1"/>
    <w:rsid w:val="00517029"/>
    <w:rsid w:val="0051714E"/>
    <w:rsid w:val="0052044F"/>
    <w:rsid w:val="00520627"/>
    <w:rsid w:val="005217A5"/>
    <w:rsid w:val="00521CA0"/>
    <w:rsid w:val="00522D20"/>
    <w:rsid w:val="00523ACB"/>
    <w:rsid w:val="0052514C"/>
    <w:rsid w:val="005251F7"/>
    <w:rsid w:val="005261CB"/>
    <w:rsid w:val="00527AFB"/>
    <w:rsid w:val="00530147"/>
    <w:rsid w:val="00531B64"/>
    <w:rsid w:val="00531BB9"/>
    <w:rsid w:val="005320B5"/>
    <w:rsid w:val="00532473"/>
    <w:rsid w:val="005334F9"/>
    <w:rsid w:val="005336B9"/>
    <w:rsid w:val="00533762"/>
    <w:rsid w:val="0053467B"/>
    <w:rsid w:val="00534B17"/>
    <w:rsid w:val="0053516E"/>
    <w:rsid w:val="0053565A"/>
    <w:rsid w:val="005365E1"/>
    <w:rsid w:val="005367D2"/>
    <w:rsid w:val="00540431"/>
    <w:rsid w:val="00540942"/>
    <w:rsid w:val="00542646"/>
    <w:rsid w:val="00543140"/>
    <w:rsid w:val="005439A3"/>
    <w:rsid w:val="00543D09"/>
    <w:rsid w:val="00545249"/>
    <w:rsid w:val="00545D24"/>
    <w:rsid w:val="00546607"/>
    <w:rsid w:val="00547B89"/>
    <w:rsid w:val="00547FA1"/>
    <w:rsid w:val="00550E45"/>
    <w:rsid w:val="00551E40"/>
    <w:rsid w:val="005520FB"/>
    <w:rsid w:val="0055304B"/>
    <w:rsid w:val="005534C4"/>
    <w:rsid w:val="005538A4"/>
    <w:rsid w:val="00553E7B"/>
    <w:rsid w:val="005600B8"/>
    <w:rsid w:val="0056477C"/>
    <w:rsid w:val="00565375"/>
    <w:rsid w:val="0056737E"/>
    <w:rsid w:val="00567710"/>
    <w:rsid w:val="005678E7"/>
    <w:rsid w:val="0057003A"/>
    <w:rsid w:val="005702B2"/>
    <w:rsid w:val="00570AAD"/>
    <w:rsid w:val="00570C93"/>
    <w:rsid w:val="005731FB"/>
    <w:rsid w:val="0057392D"/>
    <w:rsid w:val="00574D2E"/>
    <w:rsid w:val="00575121"/>
    <w:rsid w:val="00575CED"/>
    <w:rsid w:val="0057650E"/>
    <w:rsid w:val="0057762D"/>
    <w:rsid w:val="00577694"/>
    <w:rsid w:val="00581EEB"/>
    <w:rsid w:val="0058201D"/>
    <w:rsid w:val="00582407"/>
    <w:rsid w:val="0058259E"/>
    <w:rsid w:val="00582A18"/>
    <w:rsid w:val="00582CF1"/>
    <w:rsid w:val="00583147"/>
    <w:rsid w:val="00583428"/>
    <w:rsid w:val="00584F33"/>
    <w:rsid w:val="005856D6"/>
    <w:rsid w:val="00586503"/>
    <w:rsid w:val="0058789D"/>
    <w:rsid w:val="00587AF3"/>
    <w:rsid w:val="005905FF"/>
    <w:rsid w:val="00591C00"/>
    <w:rsid w:val="00591D63"/>
    <w:rsid w:val="005920CC"/>
    <w:rsid w:val="005938BA"/>
    <w:rsid w:val="005946FE"/>
    <w:rsid w:val="005965F1"/>
    <w:rsid w:val="00596874"/>
    <w:rsid w:val="00597207"/>
    <w:rsid w:val="00597768"/>
    <w:rsid w:val="005A105A"/>
    <w:rsid w:val="005A1844"/>
    <w:rsid w:val="005A1BE3"/>
    <w:rsid w:val="005A26D7"/>
    <w:rsid w:val="005A2952"/>
    <w:rsid w:val="005A2E99"/>
    <w:rsid w:val="005A4192"/>
    <w:rsid w:val="005A4481"/>
    <w:rsid w:val="005A52F9"/>
    <w:rsid w:val="005A5B60"/>
    <w:rsid w:val="005A6404"/>
    <w:rsid w:val="005A7A33"/>
    <w:rsid w:val="005A7A4B"/>
    <w:rsid w:val="005B0677"/>
    <w:rsid w:val="005B1734"/>
    <w:rsid w:val="005B1BE2"/>
    <w:rsid w:val="005B1E81"/>
    <w:rsid w:val="005B22B5"/>
    <w:rsid w:val="005B2B22"/>
    <w:rsid w:val="005B346D"/>
    <w:rsid w:val="005B34BC"/>
    <w:rsid w:val="005B376E"/>
    <w:rsid w:val="005B5052"/>
    <w:rsid w:val="005B6F75"/>
    <w:rsid w:val="005C161C"/>
    <w:rsid w:val="005C227D"/>
    <w:rsid w:val="005C456A"/>
    <w:rsid w:val="005C628C"/>
    <w:rsid w:val="005C72B1"/>
    <w:rsid w:val="005D02ED"/>
    <w:rsid w:val="005D1C69"/>
    <w:rsid w:val="005D24CF"/>
    <w:rsid w:val="005D390A"/>
    <w:rsid w:val="005D3FB5"/>
    <w:rsid w:val="005D4301"/>
    <w:rsid w:val="005D4842"/>
    <w:rsid w:val="005D50EC"/>
    <w:rsid w:val="005D5FF5"/>
    <w:rsid w:val="005D7301"/>
    <w:rsid w:val="005D754B"/>
    <w:rsid w:val="005D7D00"/>
    <w:rsid w:val="005D7F03"/>
    <w:rsid w:val="005E0098"/>
    <w:rsid w:val="005E1085"/>
    <w:rsid w:val="005E15CA"/>
    <w:rsid w:val="005E20DA"/>
    <w:rsid w:val="005E2DB5"/>
    <w:rsid w:val="005E4245"/>
    <w:rsid w:val="005E496C"/>
    <w:rsid w:val="005E4DE5"/>
    <w:rsid w:val="005E530C"/>
    <w:rsid w:val="005E6C6F"/>
    <w:rsid w:val="005E7437"/>
    <w:rsid w:val="005F0BF5"/>
    <w:rsid w:val="005F1EC7"/>
    <w:rsid w:val="005F2995"/>
    <w:rsid w:val="005F2A21"/>
    <w:rsid w:val="005F2C93"/>
    <w:rsid w:val="005F33AC"/>
    <w:rsid w:val="005F3A6A"/>
    <w:rsid w:val="005F3ACE"/>
    <w:rsid w:val="005F3F37"/>
    <w:rsid w:val="005F5EC0"/>
    <w:rsid w:val="005F74FF"/>
    <w:rsid w:val="005F7D66"/>
    <w:rsid w:val="006008C0"/>
    <w:rsid w:val="00600A38"/>
    <w:rsid w:val="00601515"/>
    <w:rsid w:val="00601571"/>
    <w:rsid w:val="006017B0"/>
    <w:rsid w:val="00601CD7"/>
    <w:rsid w:val="006021D1"/>
    <w:rsid w:val="00602B1F"/>
    <w:rsid w:val="00603D44"/>
    <w:rsid w:val="006040CE"/>
    <w:rsid w:val="00604310"/>
    <w:rsid w:val="006051F6"/>
    <w:rsid w:val="00606FE7"/>
    <w:rsid w:val="0060744F"/>
    <w:rsid w:val="0060790C"/>
    <w:rsid w:val="00610720"/>
    <w:rsid w:val="006109C3"/>
    <w:rsid w:val="006117EF"/>
    <w:rsid w:val="00611D03"/>
    <w:rsid w:val="0061201B"/>
    <w:rsid w:val="00612526"/>
    <w:rsid w:val="006131E8"/>
    <w:rsid w:val="00614C73"/>
    <w:rsid w:val="00615F4F"/>
    <w:rsid w:val="006161F4"/>
    <w:rsid w:val="006163E7"/>
    <w:rsid w:val="00616D19"/>
    <w:rsid w:val="00616F71"/>
    <w:rsid w:val="00617255"/>
    <w:rsid w:val="006174CA"/>
    <w:rsid w:val="0062049F"/>
    <w:rsid w:val="00623D2F"/>
    <w:rsid w:val="0062612C"/>
    <w:rsid w:val="0062621A"/>
    <w:rsid w:val="00626410"/>
    <w:rsid w:val="00626D4F"/>
    <w:rsid w:val="00626E9B"/>
    <w:rsid w:val="0063041B"/>
    <w:rsid w:val="006304FC"/>
    <w:rsid w:val="00630AE7"/>
    <w:rsid w:val="0063119C"/>
    <w:rsid w:val="00633B35"/>
    <w:rsid w:val="00633BDC"/>
    <w:rsid w:val="00633C1C"/>
    <w:rsid w:val="0063439B"/>
    <w:rsid w:val="0063583C"/>
    <w:rsid w:val="00636F43"/>
    <w:rsid w:val="00637338"/>
    <w:rsid w:val="00640D2F"/>
    <w:rsid w:val="006411EC"/>
    <w:rsid w:val="00641E2E"/>
    <w:rsid w:val="00642881"/>
    <w:rsid w:val="00643E7F"/>
    <w:rsid w:val="006457BF"/>
    <w:rsid w:val="0065001E"/>
    <w:rsid w:val="0065088A"/>
    <w:rsid w:val="00650FA0"/>
    <w:rsid w:val="0065196F"/>
    <w:rsid w:val="00655234"/>
    <w:rsid w:val="006556A5"/>
    <w:rsid w:val="00655E41"/>
    <w:rsid w:val="006568D6"/>
    <w:rsid w:val="0065745D"/>
    <w:rsid w:val="00657B05"/>
    <w:rsid w:val="00657F2D"/>
    <w:rsid w:val="0066004E"/>
    <w:rsid w:val="00661011"/>
    <w:rsid w:val="00661075"/>
    <w:rsid w:val="00661B79"/>
    <w:rsid w:val="00663529"/>
    <w:rsid w:val="0066381A"/>
    <w:rsid w:val="006646B4"/>
    <w:rsid w:val="00665019"/>
    <w:rsid w:val="0066660F"/>
    <w:rsid w:val="00667258"/>
    <w:rsid w:val="00667F25"/>
    <w:rsid w:val="006702CA"/>
    <w:rsid w:val="00670B13"/>
    <w:rsid w:val="00671736"/>
    <w:rsid w:val="00671949"/>
    <w:rsid w:val="0067256C"/>
    <w:rsid w:val="00672646"/>
    <w:rsid w:val="00673059"/>
    <w:rsid w:val="0067308C"/>
    <w:rsid w:val="00673530"/>
    <w:rsid w:val="006735C9"/>
    <w:rsid w:val="006736BB"/>
    <w:rsid w:val="00674634"/>
    <w:rsid w:val="00674770"/>
    <w:rsid w:val="00675ACC"/>
    <w:rsid w:val="00675BF1"/>
    <w:rsid w:val="006770C0"/>
    <w:rsid w:val="006800CD"/>
    <w:rsid w:val="006803DF"/>
    <w:rsid w:val="0068049D"/>
    <w:rsid w:val="00680E74"/>
    <w:rsid w:val="00683034"/>
    <w:rsid w:val="006832CA"/>
    <w:rsid w:val="006837C4"/>
    <w:rsid w:val="006842F2"/>
    <w:rsid w:val="00684D1D"/>
    <w:rsid w:val="00684D3B"/>
    <w:rsid w:val="00685FFE"/>
    <w:rsid w:val="00686152"/>
    <w:rsid w:val="00686A78"/>
    <w:rsid w:val="00687C2D"/>
    <w:rsid w:val="00687CAB"/>
    <w:rsid w:val="00687E60"/>
    <w:rsid w:val="00690C43"/>
    <w:rsid w:val="0069102C"/>
    <w:rsid w:val="00694118"/>
    <w:rsid w:val="00694B0A"/>
    <w:rsid w:val="0069542B"/>
    <w:rsid w:val="0069562D"/>
    <w:rsid w:val="00695BEB"/>
    <w:rsid w:val="00696752"/>
    <w:rsid w:val="0069677A"/>
    <w:rsid w:val="00697D5B"/>
    <w:rsid w:val="006A0492"/>
    <w:rsid w:val="006A070C"/>
    <w:rsid w:val="006A19D8"/>
    <w:rsid w:val="006A3A7B"/>
    <w:rsid w:val="006A44E6"/>
    <w:rsid w:val="006A4B49"/>
    <w:rsid w:val="006A4C22"/>
    <w:rsid w:val="006A4FE6"/>
    <w:rsid w:val="006A5E7D"/>
    <w:rsid w:val="006A6E2D"/>
    <w:rsid w:val="006A720E"/>
    <w:rsid w:val="006A73C8"/>
    <w:rsid w:val="006A7BE6"/>
    <w:rsid w:val="006B04EE"/>
    <w:rsid w:val="006B207E"/>
    <w:rsid w:val="006B2256"/>
    <w:rsid w:val="006B2609"/>
    <w:rsid w:val="006B274A"/>
    <w:rsid w:val="006B2ABB"/>
    <w:rsid w:val="006B3891"/>
    <w:rsid w:val="006B3DC4"/>
    <w:rsid w:val="006B3DD3"/>
    <w:rsid w:val="006B42F8"/>
    <w:rsid w:val="006B43FB"/>
    <w:rsid w:val="006B4614"/>
    <w:rsid w:val="006B5103"/>
    <w:rsid w:val="006B5216"/>
    <w:rsid w:val="006B5759"/>
    <w:rsid w:val="006B5D02"/>
    <w:rsid w:val="006B6910"/>
    <w:rsid w:val="006B6AA9"/>
    <w:rsid w:val="006B6BF4"/>
    <w:rsid w:val="006B773A"/>
    <w:rsid w:val="006C02D9"/>
    <w:rsid w:val="006C0F5E"/>
    <w:rsid w:val="006C1193"/>
    <w:rsid w:val="006C3EBB"/>
    <w:rsid w:val="006C3EF9"/>
    <w:rsid w:val="006C4185"/>
    <w:rsid w:val="006C6096"/>
    <w:rsid w:val="006C662D"/>
    <w:rsid w:val="006C7781"/>
    <w:rsid w:val="006D057E"/>
    <w:rsid w:val="006D063B"/>
    <w:rsid w:val="006D1ACD"/>
    <w:rsid w:val="006D39B2"/>
    <w:rsid w:val="006D3D4F"/>
    <w:rsid w:val="006D4F1A"/>
    <w:rsid w:val="006D52E2"/>
    <w:rsid w:val="006D569B"/>
    <w:rsid w:val="006D6087"/>
    <w:rsid w:val="006D64E9"/>
    <w:rsid w:val="006D665B"/>
    <w:rsid w:val="006D6684"/>
    <w:rsid w:val="006D70B9"/>
    <w:rsid w:val="006E3977"/>
    <w:rsid w:val="006E4080"/>
    <w:rsid w:val="006E4A85"/>
    <w:rsid w:val="006E66CC"/>
    <w:rsid w:val="006E6B34"/>
    <w:rsid w:val="006E7319"/>
    <w:rsid w:val="006E74B2"/>
    <w:rsid w:val="006F086E"/>
    <w:rsid w:val="006F08BD"/>
    <w:rsid w:val="006F0A29"/>
    <w:rsid w:val="006F167D"/>
    <w:rsid w:val="006F18D5"/>
    <w:rsid w:val="006F1D5B"/>
    <w:rsid w:val="006F21E8"/>
    <w:rsid w:val="006F40F6"/>
    <w:rsid w:val="006F478F"/>
    <w:rsid w:val="006F50EA"/>
    <w:rsid w:val="006F535A"/>
    <w:rsid w:val="006F631B"/>
    <w:rsid w:val="006F6C6D"/>
    <w:rsid w:val="006F6CB9"/>
    <w:rsid w:val="0070104D"/>
    <w:rsid w:val="0070180F"/>
    <w:rsid w:val="0070291B"/>
    <w:rsid w:val="0070539C"/>
    <w:rsid w:val="00705CB0"/>
    <w:rsid w:val="00706A1C"/>
    <w:rsid w:val="00706D1F"/>
    <w:rsid w:val="007079CA"/>
    <w:rsid w:val="00707A08"/>
    <w:rsid w:val="00711DD9"/>
    <w:rsid w:val="007129BC"/>
    <w:rsid w:val="00713675"/>
    <w:rsid w:val="007154C6"/>
    <w:rsid w:val="00716029"/>
    <w:rsid w:val="00716A2E"/>
    <w:rsid w:val="0071725C"/>
    <w:rsid w:val="007205A1"/>
    <w:rsid w:val="00720960"/>
    <w:rsid w:val="00720ABB"/>
    <w:rsid w:val="00720C0A"/>
    <w:rsid w:val="007222E0"/>
    <w:rsid w:val="00722444"/>
    <w:rsid w:val="00723029"/>
    <w:rsid w:val="007238C9"/>
    <w:rsid w:val="007255BB"/>
    <w:rsid w:val="007261BD"/>
    <w:rsid w:val="007277B7"/>
    <w:rsid w:val="00730606"/>
    <w:rsid w:val="0073088E"/>
    <w:rsid w:val="00731685"/>
    <w:rsid w:val="0073211F"/>
    <w:rsid w:val="0073275D"/>
    <w:rsid w:val="0073409B"/>
    <w:rsid w:val="0073493B"/>
    <w:rsid w:val="00735270"/>
    <w:rsid w:val="00736542"/>
    <w:rsid w:val="00736F58"/>
    <w:rsid w:val="00740F1B"/>
    <w:rsid w:val="007414D0"/>
    <w:rsid w:val="007414E2"/>
    <w:rsid w:val="007415F5"/>
    <w:rsid w:val="00741E73"/>
    <w:rsid w:val="007434AF"/>
    <w:rsid w:val="0074367C"/>
    <w:rsid w:val="00743C7A"/>
    <w:rsid w:val="007450BD"/>
    <w:rsid w:val="00745D5B"/>
    <w:rsid w:val="00750648"/>
    <w:rsid w:val="00750D1B"/>
    <w:rsid w:val="0075138D"/>
    <w:rsid w:val="00751C60"/>
    <w:rsid w:val="0075226D"/>
    <w:rsid w:val="007523F4"/>
    <w:rsid w:val="00753A65"/>
    <w:rsid w:val="007541DF"/>
    <w:rsid w:val="00756D04"/>
    <w:rsid w:val="00757D2A"/>
    <w:rsid w:val="00757E3E"/>
    <w:rsid w:val="007610FC"/>
    <w:rsid w:val="00761478"/>
    <w:rsid w:val="0076153A"/>
    <w:rsid w:val="007616C3"/>
    <w:rsid w:val="00762332"/>
    <w:rsid w:val="007651FD"/>
    <w:rsid w:val="00765E35"/>
    <w:rsid w:val="00766311"/>
    <w:rsid w:val="0077228C"/>
    <w:rsid w:val="00772377"/>
    <w:rsid w:val="00772D1D"/>
    <w:rsid w:val="00772D62"/>
    <w:rsid w:val="00773851"/>
    <w:rsid w:val="00773F92"/>
    <w:rsid w:val="007754E2"/>
    <w:rsid w:val="00776024"/>
    <w:rsid w:val="00776ADA"/>
    <w:rsid w:val="007774A8"/>
    <w:rsid w:val="00780F1E"/>
    <w:rsid w:val="00781862"/>
    <w:rsid w:val="00781AD2"/>
    <w:rsid w:val="00781B19"/>
    <w:rsid w:val="00782575"/>
    <w:rsid w:val="00782C40"/>
    <w:rsid w:val="0078329D"/>
    <w:rsid w:val="0078417B"/>
    <w:rsid w:val="0078460A"/>
    <w:rsid w:val="00784D8B"/>
    <w:rsid w:val="00784E32"/>
    <w:rsid w:val="00785C7B"/>
    <w:rsid w:val="00787AE9"/>
    <w:rsid w:val="00787EA6"/>
    <w:rsid w:val="00790624"/>
    <w:rsid w:val="00790F5E"/>
    <w:rsid w:val="00791DA5"/>
    <w:rsid w:val="00792926"/>
    <w:rsid w:val="00795C11"/>
    <w:rsid w:val="00796DA4"/>
    <w:rsid w:val="00797A7D"/>
    <w:rsid w:val="00797A8D"/>
    <w:rsid w:val="00797AA0"/>
    <w:rsid w:val="007A1784"/>
    <w:rsid w:val="007A18C0"/>
    <w:rsid w:val="007A2470"/>
    <w:rsid w:val="007A29E6"/>
    <w:rsid w:val="007A2F94"/>
    <w:rsid w:val="007A3B37"/>
    <w:rsid w:val="007A432D"/>
    <w:rsid w:val="007A4415"/>
    <w:rsid w:val="007A5788"/>
    <w:rsid w:val="007A7044"/>
    <w:rsid w:val="007A73F2"/>
    <w:rsid w:val="007B0BEB"/>
    <w:rsid w:val="007B1529"/>
    <w:rsid w:val="007B1D2A"/>
    <w:rsid w:val="007B2BEF"/>
    <w:rsid w:val="007B33A6"/>
    <w:rsid w:val="007B3B95"/>
    <w:rsid w:val="007B4774"/>
    <w:rsid w:val="007B4AB0"/>
    <w:rsid w:val="007B52FC"/>
    <w:rsid w:val="007B60FA"/>
    <w:rsid w:val="007B6AB3"/>
    <w:rsid w:val="007B7B47"/>
    <w:rsid w:val="007C0447"/>
    <w:rsid w:val="007C1194"/>
    <w:rsid w:val="007C1BCD"/>
    <w:rsid w:val="007C1FD9"/>
    <w:rsid w:val="007C20F4"/>
    <w:rsid w:val="007C22FA"/>
    <w:rsid w:val="007C30F5"/>
    <w:rsid w:val="007C358F"/>
    <w:rsid w:val="007C371F"/>
    <w:rsid w:val="007C4A5F"/>
    <w:rsid w:val="007C5C8C"/>
    <w:rsid w:val="007C5F40"/>
    <w:rsid w:val="007C6A0F"/>
    <w:rsid w:val="007D04F2"/>
    <w:rsid w:val="007D2CDE"/>
    <w:rsid w:val="007D3DD8"/>
    <w:rsid w:val="007D4300"/>
    <w:rsid w:val="007D4AF1"/>
    <w:rsid w:val="007D535F"/>
    <w:rsid w:val="007D59AE"/>
    <w:rsid w:val="007D5F2D"/>
    <w:rsid w:val="007D67B9"/>
    <w:rsid w:val="007D7B42"/>
    <w:rsid w:val="007E053B"/>
    <w:rsid w:val="007E1F96"/>
    <w:rsid w:val="007E40B3"/>
    <w:rsid w:val="007E4168"/>
    <w:rsid w:val="007E45B2"/>
    <w:rsid w:val="007E548A"/>
    <w:rsid w:val="007E5CFE"/>
    <w:rsid w:val="007E6167"/>
    <w:rsid w:val="007E6768"/>
    <w:rsid w:val="007E72A6"/>
    <w:rsid w:val="007E7D42"/>
    <w:rsid w:val="007F0758"/>
    <w:rsid w:val="007F1125"/>
    <w:rsid w:val="007F1C1F"/>
    <w:rsid w:val="007F3D3C"/>
    <w:rsid w:val="007F3EC3"/>
    <w:rsid w:val="007F3F2E"/>
    <w:rsid w:val="007F4989"/>
    <w:rsid w:val="007F4B1E"/>
    <w:rsid w:val="007F4BB8"/>
    <w:rsid w:val="007F4CC6"/>
    <w:rsid w:val="007F4F5E"/>
    <w:rsid w:val="007F527B"/>
    <w:rsid w:val="007F59FB"/>
    <w:rsid w:val="007F7552"/>
    <w:rsid w:val="007F7CAA"/>
    <w:rsid w:val="0080059B"/>
    <w:rsid w:val="00800A33"/>
    <w:rsid w:val="00800D2A"/>
    <w:rsid w:val="00801393"/>
    <w:rsid w:val="008026C8"/>
    <w:rsid w:val="008029DB"/>
    <w:rsid w:val="00802AC7"/>
    <w:rsid w:val="00802B08"/>
    <w:rsid w:val="00804897"/>
    <w:rsid w:val="00805024"/>
    <w:rsid w:val="00805BF2"/>
    <w:rsid w:val="00806642"/>
    <w:rsid w:val="00806B28"/>
    <w:rsid w:val="00806C0F"/>
    <w:rsid w:val="00806F5E"/>
    <w:rsid w:val="00810391"/>
    <w:rsid w:val="008106CA"/>
    <w:rsid w:val="008108A0"/>
    <w:rsid w:val="00811F12"/>
    <w:rsid w:val="00813204"/>
    <w:rsid w:val="00813833"/>
    <w:rsid w:val="00814643"/>
    <w:rsid w:val="00814C2D"/>
    <w:rsid w:val="00814C3D"/>
    <w:rsid w:val="00814C93"/>
    <w:rsid w:val="00815874"/>
    <w:rsid w:val="008163BD"/>
    <w:rsid w:val="008172B6"/>
    <w:rsid w:val="00820EF6"/>
    <w:rsid w:val="008224D1"/>
    <w:rsid w:val="0082262F"/>
    <w:rsid w:val="00823018"/>
    <w:rsid w:val="00823142"/>
    <w:rsid w:val="00823EE1"/>
    <w:rsid w:val="00826488"/>
    <w:rsid w:val="00826FEE"/>
    <w:rsid w:val="00830E2B"/>
    <w:rsid w:val="0083184E"/>
    <w:rsid w:val="0083218A"/>
    <w:rsid w:val="008328B9"/>
    <w:rsid w:val="00833E89"/>
    <w:rsid w:val="0083448D"/>
    <w:rsid w:val="00834C34"/>
    <w:rsid w:val="00834E58"/>
    <w:rsid w:val="0083506B"/>
    <w:rsid w:val="00835B64"/>
    <w:rsid w:val="00836B7E"/>
    <w:rsid w:val="00837DCD"/>
    <w:rsid w:val="0084155B"/>
    <w:rsid w:val="0084159E"/>
    <w:rsid w:val="008419BE"/>
    <w:rsid w:val="0084349F"/>
    <w:rsid w:val="0084370E"/>
    <w:rsid w:val="00843ACA"/>
    <w:rsid w:val="0084471A"/>
    <w:rsid w:val="00845390"/>
    <w:rsid w:val="0084664D"/>
    <w:rsid w:val="00846CCB"/>
    <w:rsid w:val="00847ADD"/>
    <w:rsid w:val="00847CF3"/>
    <w:rsid w:val="008514A5"/>
    <w:rsid w:val="00852272"/>
    <w:rsid w:val="0085236A"/>
    <w:rsid w:val="00852A59"/>
    <w:rsid w:val="00854066"/>
    <w:rsid w:val="008541CB"/>
    <w:rsid w:val="008541F3"/>
    <w:rsid w:val="00854547"/>
    <w:rsid w:val="00855C66"/>
    <w:rsid w:val="00856E47"/>
    <w:rsid w:val="00856F79"/>
    <w:rsid w:val="00857B55"/>
    <w:rsid w:val="00860300"/>
    <w:rsid w:val="008623DA"/>
    <w:rsid w:val="00865143"/>
    <w:rsid w:val="00865DDF"/>
    <w:rsid w:val="0086698B"/>
    <w:rsid w:val="008700A1"/>
    <w:rsid w:val="008700E4"/>
    <w:rsid w:val="00870BB3"/>
    <w:rsid w:val="00870F3B"/>
    <w:rsid w:val="008726DE"/>
    <w:rsid w:val="00873079"/>
    <w:rsid w:val="00873A21"/>
    <w:rsid w:val="008744E0"/>
    <w:rsid w:val="0087491F"/>
    <w:rsid w:val="008759A6"/>
    <w:rsid w:val="00875A39"/>
    <w:rsid w:val="00876426"/>
    <w:rsid w:val="00877761"/>
    <w:rsid w:val="00877CCC"/>
    <w:rsid w:val="00880578"/>
    <w:rsid w:val="008822D4"/>
    <w:rsid w:val="0088285F"/>
    <w:rsid w:val="00882E39"/>
    <w:rsid w:val="0088327E"/>
    <w:rsid w:val="00883597"/>
    <w:rsid w:val="00883BF2"/>
    <w:rsid w:val="00883E94"/>
    <w:rsid w:val="0088464B"/>
    <w:rsid w:val="00884DD7"/>
    <w:rsid w:val="0088745E"/>
    <w:rsid w:val="008874CA"/>
    <w:rsid w:val="008876C8"/>
    <w:rsid w:val="008907F7"/>
    <w:rsid w:val="00890F43"/>
    <w:rsid w:val="00891146"/>
    <w:rsid w:val="00894084"/>
    <w:rsid w:val="00894442"/>
    <w:rsid w:val="008945C5"/>
    <w:rsid w:val="00894687"/>
    <w:rsid w:val="0089496B"/>
    <w:rsid w:val="008949EB"/>
    <w:rsid w:val="00894CA9"/>
    <w:rsid w:val="00894ED6"/>
    <w:rsid w:val="0089559E"/>
    <w:rsid w:val="008957BA"/>
    <w:rsid w:val="00895AE4"/>
    <w:rsid w:val="00896B55"/>
    <w:rsid w:val="00897E52"/>
    <w:rsid w:val="008A0787"/>
    <w:rsid w:val="008A1B42"/>
    <w:rsid w:val="008A1D84"/>
    <w:rsid w:val="008A2616"/>
    <w:rsid w:val="008A2CB5"/>
    <w:rsid w:val="008A3A85"/>
    <w:rsid w:val="008A6EB1"/>
    <w:rsid w:val="008A7A5A"/>
    <w:rsid w:val="008A7B19"/>
    <w:rsid w:val="008A7B3E"/>
    <w:rsid w:val="008B059E"/>
    <w:rsid w:val="008B0B44"/>
    <w:rsid w:val="008B1A0D"/>
    <w:rsid w:val="008B37C7"/>
    <w:rsid w:val="008B4AB5"/>
    <w:rsid w:val="008B4D8F"/>
    <w:rsid w:val="008B51DB"/>
    <w:rsid w:val="008B5F24"/>
    <w:rsid w:val="008B6954"/>
    <w:rsid w:val="008B725D"/>
    <w:rsid w:val="008C0384"/>
    <w:rsid w:val="008C2D45"/>
    <w:rsid w:val="008C43E6"/>
    <w:rsid w:val="008C58C1"/>
    <w:rsid w:val="008C5D92"/>
    <w:rsid w:val="008D0541"/>
    <w:rsid w:val="008D09E3"/>
    <w:rsid w:val="008D25C0"/>
    <w:rsid w:val="008D321A"/>
    <w:rsid w:val="008D44B6"/>
    <w:rsid w:val="008D52BC"/>
    <w:rsid w:val="008D5A2D"/>
    <w:rsid w:val="008D6035"/>
    <w:rsid w:val="008D6AB5"/>
    <w:rsid w:val="008D6F70"/>
    <w:rsid w:val="008E0206"/>
    <w:rsid w:val="008E0DFC"/>
    <w:rsid w:val="008E2356"/>
    <w:rsid w:val="008E2FDE"/>
    <w:rsid w:val="008E30B8"/>
    <w:rsid w:val="008E3109"/>
    <w:rsid w:val="008E33E1"/>
    <w:rsid w:val="008E3D87"/>
    <w:rsid w:val="008E45F9"/>
    <w:rsid w:val="008E4681"/>
    <w:rsid w:val="008E5BFE"/>
    <w:rsid w:val="008F0D26"/>
    <w:rsid w:val="008F0D5B"/>
    <w:rsid w:val="008F136C"/>
    <w:rsid w:val="008F18E2"/>
    <w:rsid w:val="008F1E00"/>
    <w:rsid w:val="008F24B0"/>
    <w:rsid w:val="008F2B47"/>
    <w:rsid w:val="008F37B0"/>
    <w:rsid w:val="008F4C94"/>
    <w:rsid w:val="008F5FCB"/>
    <w:rsid w:val="008F6D62"/>
    <w:rsid w:val="009005FF"/>
    <w:rsid w:val="00900891"/>
    <w:rsid w:val="00900CAB"/>
    <w:rsid w:val="00901E97"/>
    <w:rsid w:val="00902055"/>
    <w:rsid w:val="0090274A"/>
    <w:rsid w:val="00902E5A"/>
    <w:rsid w:val="009031A2"/>
    <w:rsid w:val="009040EA"/>
    <w:rsid w:val="009045C5"/>
    <w:rsid w:val="00904851"/>
    <w:rsid w:val="00906D3C"/>
    <w:rsid w:val="00907622"/>
    <w:rsid w:val="0090783E"/>
    <w:rsid w:val="00907E94"/>
    <w:rsid w:val="009107F1"/>
    <w:rsid w:val="0091113E"/>
    <w:rsid w:val="00911205"/>
    <w:rsid w:val="009115EA"/>
    <w:rsid w:val="00911811"/>
    <w:rsid w:val="0091281D"/>
    <w:rsid w:val="00912AD1"/>
    <w:rsid w:val="009134BF"/>
    <w:rsid w:val="00914510"/>
    <w:rsid w:val="00914ED2"/>
    <w:rsid w:val="00916A37"/>
    <w:rsid w:val="00917771"/>
    <w:rsid w:val="00917A0F"/>
    <w:rsid w:val="00917FFD"/>
    <w:rsid w:val="009201CA"/>
    <w:rsid w:val="009202F6"/>
    <w:rsid w:val="00921032"/>
    <w:rsid w:val="0092168E"/>
    <w:rsid w:val="009225D3"/>
    <w:rsid w:val="009228D8"/>
    <w:rsid w:val="00922978"/>
    <w:rsid w:val="0092379F"/>
    <w:rsid w:val="0092431F"/>
    <w:rsid w:val="00924A7C"/>
    <w:rsid w:val="00924B00"/>
    <w:rsid w:val="0092576F"/>
    <w:rsid w:val="00925A80"/>
    <w:rsid w:val="00927812"/>
    <w:rsid w:val="009279A5"/>
    <w:rsid w:val="00927AA6"/>
    <w:rsid w:val="009306DA"/>
    <w:rsid w:val="00930B2B"/>
    <w:rsid w:val="00935398"/>
    <w:rsid w:val="009363D0"/>
    <w:rsid w:val="0093761F"/>
    <w:rsid w:val="00937B50"/>
    <w:rsid w:val="00937B6A"/>
    <w:rsid w:val="00937C83"/>
    <w:rsid w:val="009431D6"/>
    <w:rsid w:val="00943390"/>
    <w:rsid w:val="009437A8"/>
    <w:rsid w:val="00943A83"/>
    <w:rsid w:val="00944225"/>
    <w:rsid w:val="00944657"/>
    <w:rsid w:val="00945364"/>
    <w:rsid w:val="00945D49"/>
    <w:rsid w:val="009465DD"/>
    <w:rsid w:val="00946F34"/>
    <w:rsid w:val="00947483"/>
    <w:rsid w:val="009475CC"/>
    <w:rsid w:val="00947830"/>
    <w:rsid w:val="009505AE"/>
    <w:rsid w:val="009505C7"/>
    <w:rsid w:val="009510B3"/>
    <w:rsid w:val="009516F1"/>
    <w:rsid w:val="00951DFD"/>
    <w:rsid w:val="009533C4"/>
    <w:rsid w:val="00955EE5"/>
    <w:rsid w:val="00956708"/>
    <w:rsid w:val="00956EB9"/>
    <w:rsid w:val="00956F2D"/>
    <w:rsid w:val="00957361"/>
    <w:rsid w:val="009604D5"/>
    <w:rsid w:val="0096343D"/>
    <w:rsid w:val="00964251"/>
    <w:rsid w:val="0096507A"/>
    <w:rsid w:val="009651E1"/>
    <w:rsid w:val="0096590F"/>
    <w:rsid w:val="009662E1"/>
    <w:rsid w:val="00967460"/>
    <w:rsid w:val="0096758C"/>
    <w:rsid w:val="00967685"/>
    <w:rsid w:val="0097022F"/>
    <w:rsid w:val="00970AB3"/>
    <w:rsid w:val="00971428"/>
    <w:rsid w:val="009729CD"/>
    <w:rsid w:val="009732E9"/>
    <w:rsid w:val="009736C0"/>
    <w:rsid w:val="009736F2"/>
    <w:rsid w:val="00973E90"/>
    <w:rsid w:val="009744F8"/>
    <w:rsid w:val="00974774"/>
    <w:rsid w:val="0097483B"/>
    <w:rsid w:val="00974874"/>
    <w:rsid w:val="00974A97"/>
    <w:rsid w:val="00975D35"/>
    <w:rsid w:val="00977030"/>
    <w:rsid w:val="0097709C"/>
    <w:rsid w:val="0097796B"/>
    <w:rsid w:val="00977A37"/>
    <w:rsid w:val="00982CF9"/>
    <w:rsid w:val="00983B2E"/>
    <w:rsid w:val="00983F99"/>
    <w:rsid w:val="00984176"/>
    <w:rsid w:val="0098620A"/>
    <w:rsid w:val="0098663E"/>
    <w:rsid w:val="0098677E"/>
    <w:rsid w:val="009902B7"/>
    <w:rsid w:val="00990325"/>
    <w:rsid w:val="00990345"/>
    <w:rsid w:val="00990B0C"/>
    <w:rsid w:val="00990B0D"/>
    <w:rsid w:val="00990FDD"/>
    <w:rsid w:val="0099105F"/>
    <w:rsid w:val="009929C8"/>
    <w:rsid w:val="00992C38"/>
    <w:rsid w:val="00993768"/>
    <w:rsid w:val="0099484C"/>
    <w:rsid w:val="00995109"/>
    <w:rsid w:val="009951C9"/>
    <w:rsid w:val="00996F71"/>
    <w:rsid w:val="009A02E5"/>
    <w:rsid w:val="009A17A1"/>
    <w:rsid w:val="009A2ECE"/>
    <w:rsid w:val="009A3827"/>
    <w:rsid w:val="009A452C"/>
    <w:rsid w:val="009A5734"/>
    <w:rsid w:val="009A62EA"/>
    <w:rsid w:val="009A6B0F"/>
    <w:rsid w:val="009A7A86"/>
    <w:rsid w:val="009B17AB"/>
    <w:rsid w:val="009B21E9"/>
    <w:rsid w:val="009B444D"/>
    <w:rsid w:val="009B55B6"/>
    <w:rsid w:val="009B5DA5"/>
    <w:rsid w:val="009B7AAE"/>
    <w:rsid w:val="009B7FAA"/>
    <w:rsid w:val="009C053C"/>
    <w:rsid w:val="009C133F"/>
    <w:rsid w:val="009C1471"/>
    <w:rsid w:val="009C1A0D"/>
    <w:rsid w:val="009C1B2A"/>
    <w:rsid w:val="009C235E"/>
    <w:rsid w:val="009C2641"/>
    <w:rsid w:val="009C3B0B"/>
    <w:rsid w:val="009C55EB"/>
    <w:rsid w:val="009C6029"/>
    <w:rsid w:val="009D1AA4"/>
    <w:rsid w:val="009D3E15"/>
    <w:rsid w:val="009D551B"/>
    <w:rsid w:val="009D66F5"/>
    <w:rsid w:val="009D6938"/>
    <w:rsid w:val="009E1183"/>
    <w:rsid w:val="009E22F1"/>
    <w:rsid w:val="009E2541"/>
    <w:rsid w:val="009E25A4"/>
    <w:rsid w:val="009E2F4A"/>
    <w:rsid w:val="009E398A"/>
    <w:rsid w:val="009E51EC"/>
    <w:rsid w:val="009E6C62"/>
    <w:rsid w:val="009E7B0D"/>
    <w:rsid w:val="009E7E1D"/>
    <w:rsid w:val="009E7E43"/>
    <w:rsid w:val="009F0AC9"/>
    <w:rsid w:val="009F1589"/>
    <w:rsid w:val="009F2238"/>
    <w:rsid w:val="009F4817"/>
    <w:rsid w:val="009F50F9"/>
    <w:rsid w:val="009F6919"/>
    <w:rsid w:val="009F6A49"/>
    <w:rsid w:val="009F6F8C"/>
    <w:rsid w:val="009F73DD"/>
    <w:rsid w:val="00A000FD"/>
    <w:rsid w:val="00A008B4"/>
    <w:rsid w:val="00A00E36"/>
    <w:rsid w:val="00A015D9"/>
    <w:rsid w:val="00A02367"/>
    <w:rsid w:val="00A025DB"/>
    <w:rsid w:val="00A02648"/>
    <w:rsid w:val="00A02928"/>
    <w:rsid w:val="00A04150"/>
    <w:rsid w:val="00A0482C"/>
    <w:rsid w:val="00A04DF8"/>
    <w:rsid w:val="00A06D01"/>
    <w:rsid w:val="00A06FAE"/>
    <w:rsid w:val="00A104D3"/>
    <w:rsid w:val="00A1081C"/>
    <w:rsid w:val="00A1099E"/>
    <w:rsid w:val="00A10D9D"/>
    <w:rsid w:val="00A11A8A"/>
    <w:rsid w:val="00A11B49"/>
    <w:rsid w:val="00A14E4C"/>
    <w:rsid w:val="00A15551"/>
    <w:rsid w:val="00A20410"/>
    <w:rsid w:val="00A20EA5"/>
    <w:rsid w:val="00A21E92"/>
    <w:rsid w:val="00A21FFE"/>
    <w:rsid w:val="00A232D6"/>
    <w:rsid w:val="00A23712"/>
    <w:rsid w:val="00A23922"/>
    <w:rsid w:val="00A23AEA"/>
    <w:rsid w:val="00A2443E"/>
    <w:rsid w:val="00A24DA5"/>
    <w:rsid w:val="00A2569B"/>
    <w:rsid w:val="00A25B16"/>
    <w:rsid w:val="00A26688"/>
    <w:rsid w:val="00A26E79"/>
    <w:rsid w:val="00A3015A"/>
    <w:rsid w:val="00A30245"/>
    <w:rsid w:val="00A3227C"/>
    <w:rsid w:val="00A322F1"/>
    <w:rsid w:val="00A32D6B"/>
    <w:rsid w:val="00A332BC"/>
    <w:rsid w:val="00A34E2E"/>
    <w:rsid w:val="00A35051"/>
    <w:rsid w:val="00A35DBA"/>
    <w:rsid w:val="00A35E94"/>
    <w:rsid w:val="00A37970"/>
    <w:rsid w:val="00A37C13"/>
    <w:rsid w:val="00A434A1"/>
    <w:rsid w:val="00A43575"/>
    <w:rsid w:val="00A43EBB"/>
    <w:rsid w:val="00A44EB1"/>
    <w:rsid w:val="00A4600D"/>
    <w:rsid w:val="00A4608C"/>
    <w:rsid w:val="00A47B0B"/>
    <w:rsid w:val="00A50499"/>
    <w:rsid w:val="00A53124"/>
    <w:rsid w:val="00A53841"/>
    <w:rsid w:val="00A547C5"/>
    <w:rsid w:val="00A54864"/>
    <w:rsid w:val="00A56CEE"/>
    <w:rsid w:val="00A57A9E"/>
    <w:rsid w:val="00A57D1C"/>
    <w:rsid w:val="00A60295"/>
    <w:rsid w:val="00A6076B"/>
    <w:rsid w:val="00A61290"/>
    <w:rsid w:val="00A61EDC"/>
    <w:rsid w:val="00A631E6"/>
    <w:rsid w:val="00A63DFF"/>
    <w:rsid w:val="00A700F7"/>
    <w:rsid w:val="00A7165F"/>
    <w:rsid w:val="00A72264"/>
    <w:rsid w:val="00A72349"/>
    <w:rsid w:val="00A73778"/>
    <w:rsid w:val="00A740F7"/>
    <w:rsid w:val="00A74967"/>
    <w:rsid w:val="00A74E34"/>
    <w:rsid w:val="00A75115"/>
    <w:rsid w:val="00A766E4"/>
    <w:rsid w:val="00A768E2"/>
    <w:rsid w:val="00A77BAE"/>
    <w:rsid w:val="00A80012"/>
    <w:rsid w:val="00A8069F"/>
    <w:rsid w:val="00A81131"/>
    <w:rsid w:val="00A82382"/>
    <w:rsid w:val="00A82839"/>
    <w:rsid w:val="00A82963"/>
    <w:rsid w:val="00A83347"/>
    <w:rsid w:val="00A844AE"/>
    <w:rsid w:val="00A84516"/>
    <w:rsid w:val="00A852FA"/>
    <w:rsid w:val="00A9088F"/>
    <w:rsid w:val="00A914FF"/>
    <w:rsid w:val="00A921FD"/>
    <w:rsid w:val="00A9434D"/>
    <w:rsid w:val="00A946B7"/>
    <w:rsid w:val="00A94F2E"/>
    <w:rsid w:val="00A952AD"/>
    <w:rsid w:val="00A955CF"/>
    <w:rsid w:val="00A95ABA"/>
    <w:rsid w:val="00A963E5"/>
    <w:rsid w:val="00AA05F7"/>
    <w:rsid w:val="00AA1BEC"/>
    <w:rsid w:val="00AA1D69"/>
    <w:rsid w:val="00AA26D0"/>
    <w:rsid w:val="00AA2AD2"/>
    <w:rsid w:val="00AA2FB7"/>
    <w:rsid w:val="00AA3A6B"/>
    <w:rsid w:val="00AA3E93"/>
    <w:rsid w:val="00AA4CB9"/>
    <w:rsid w:val="00AA514E"/>
    <w:rsid w:val="00AA59F1"/>
    <w:rsid w:val="00AA5E8E"/>
    <w:rsid w:val="00AA64BD"/>
    <w:rsid w:val="00AA677C"/>
    <w:rsid w:val="00AA73D4"/>
    <w:rsid w:val="00AB0322"/>
    <w:rsid w:val="00AB06A9"/>
    <w:rsid w:val="00AB091A"/>
    <w:rsid w:val="00AB1DB2"/>
    <w:rsid w:val="00AB31D1"/>
    <w:rsid w:val="00AB3381"/>
    <w:rsid w:val="00AB4BC3"/>
    <w:rsid w:val="00AB5170"/>
    <w:rsid w:val="00AB63F3"/>
    <w:rsid w:val="00AB6431"/>
    <w:rsid w:val="00AB7230"/>
    <w:rsid w:val="00AB7AAC"/>
    <w:rsid w:val="00AC0A4E"/>
    <w:rsid w:val="00AC0EEF"/>
    <w:rsid w:val="00AC1024"/>
    <w:rsid w:val="00AC12B1"/>
    <w:rsid w:val="00AC1346"/>
    <w:rsid w:val="00AC3049"/>
    <w:rsid w:val="00AC3C39"/>
    <w:rsid w:val="00AC440A"/>
    <w:rsid w:val="00AC5286"/>
    <w:rsid w:val="00AC5332"/>
    <w:rsid w:val="00AC6AF7"/>
    <w:rsid w:val="00AC6C75"/>
    <w:rsid w:val="00AC6C96"/>
    <w:rsid w:val="00AC6CED"/>
    <w:rsid w:val="00AC7C45"/>
    <w:rsid w:val="00AD1A9F"/>
    <w:rsid w:val="00AD1E41"/>
    <w:rsid w:val="00AD211D"/>
    <w:rsid w:val="00AD2132"/>
    <w:rsid w:val="00AD2B00"/>
    <w:rsid w:val="00AD30F4"/>
    <w:rsid w:val="00AD3292"/>
    <w:rsid w:val="00AD5630"/>
    <w:rsid w:val="00AD5AF1"/>
    <w:rsid w:val="00AD6646"/>
    <w:rsid w:val="00AD74DD"/>
    <w:rsid w:val="00AE279F"/>
    <w:rsid w:val="00AE2D18"/>
    <w:rsid w:val="00AE5132"/>
    <w:rsid w:val="00AE6705"/>
    <w:rsid w:val="00AE7F34"/>
    <w:rsid w:val="00AF043F"/>
    <w:rsid w:val="00AF0638"/>
    <w:rsid w:val="00AF10BE"/>
    <w:rsid w:val="00AF1B7D"/>
    <w:rsid w:val="00AF2347"/>
    <w:rsid w:val="00AF31F8"/>
    <w:rsid w:val="00AF32C0"/>
    <w:rsid w:val="00AF3F30"/>
    <w:rsid w:val="00AF423B"/>
    <w:rsid w:val="00AF4DB9"/>
    <w:rsid w:val="00AF504E"/>
    <w:rsid w:val="00AF566B"/>
    <w:rsid w:val="00AF6095"/>
    <w:rsid w:val="00AF628D"/>
    <w:rsid w:val="00AF6A5B"/>
    <w:rsid w:val="00AF77B0"/>
    <w:rsid w:val="00B00B57"/>
    <w:rsid w:val="00B00E10"/>
    <w:rsid w:val="00B01A99"/>
    <w:rsid w:val="00B01E39"/>
    <w:rsid w:val="00B02FF7"/>
    <w:rsid w:val="00B03114"/>
    <w:rsid w:val="00B041BF"/>
    <w:rsid w:val="00B04216"/>
    <w:rsid w:val="00B04229"/>
    <w:rsid w:val="00B04A18"/>
    <w:rsid w:val="00B069D7"/>
    <w:rsid w:val="00B0763E"/>
    <w:rsid w:val="00B07DF6"/>
    <w:rsid w:val="00B100A4"/>
    <w:rsid w:val="00B108ED"/>
    <w:rsid w:val="00B11CC8"/>
    <w:rsid w:val="00B121EF"/>
    <w:rsid w:val="00B13B0B"/>
    <w:rsid w:val="00B149ED"/>
    <w:rsid w:val="00B14D82"/>
    <w:rsid w:val="00B14E2C"/>
    <w:rsid w:val="00B14E82"/>
    <w:rsid w:val="00B14EB8"/>
    <w:rsid w:val="00B158DE"/>
    <w:rsid w:val="00B16E72"/>
    <w:rsid w:val="00B17F3A"/>
    <w:rsid w:val="00B20607"/>
    <w:rsid w:val="00B2122A"/>
    <w:rsid w:val="00B229C6"/>
    <w:rsid w:val="00B23063"/>
    <w:rsid w:val="00B2396E"/>
    <w:rsid w:val="00B24774"/>
    <w:rsid w:val="00B25B06"/>
    <w:rsid w:val="00B25E95"/>
    <w:rsid w:val="00B266FE"/>
    <w:rsid w:val="00B27BF8"/>
    <w:rsid w:val="00B31167"/>
    <w:rsid w:val="00B314C1"/>
    <w:rsid w:val="00B316AB"/>
    <w:rsid w:val="00B32978"/>
    <w:rsid w:val="00B32D10"/>
    <w:rsid w:val="00B3306E"/>
    <w:rsid w:val="00B33D79"/>
    <w:rsid w:val="00B33E5F"/>
    <w:rsid w:val="00B34232"/>
    <w:rsid w:val="00B3686A"/>
    <w:rsid w:val="00B3729C"/>
    <w:rsid w:val="00B374C2"/>
    <w:rsid w:val="00B37CC8"/>
    <w:rsid w:val="00B4141E"/>
    <w:rsid w:val="00B4368E"/>
    <w:rsid w:val="00B43A76"/>
    <w:rsid w:val="00B452FE"/>
    <w:rsid w:val="00B4567E"/>
    <w:rsid w:val="00B463DC"/>
    <w:rsid w:val="00B47C41"/>
    <w:rsid w:val="00B47F7F"/>
    <w:rsid w:val="00B51A8D"/>
    <w:rsid w:val="00B52674"/>
    <w:rsid w:val="00B527D3"/>
    <w:rsid w:val="00B52D89"/>
    <w:rsid w:val="00B53060"/>
    <w:rsid w:val="00B538B4"/>
    <w:rsid w:val="00B54839"/>
    <w:rsid w:val="00B5537B"/>
    <w:rsid w:val="00B55C1D"/>
    <w:rsid w:val="00B563B1"/>
    <w:rsid w:val="00B56414"/>
    <w:rsid w:val="00B568E0"/>
    <w:rsid w:val="00B56B0C"/>
    <w:rsid w:val="00B5786C"/>
    <w:rsid w:val="00B61356"/>
    <w:rsid w:val="00B614CE"/>
    <w:rsid w:val="00B6232C"/>
    <w:rsid w:val="00B6267F"/>
    <w:rsid w:val="00B633EF"/>
    <w:rsid w:val="00B6386C"/>
    <w:rsid w:val="00B655AC"/>
    <w:rsid w:val="00B6568D"/>
    <w:rsid w:val="00B665FE"/>
    <w:rsid w:val="00B7016B"/>
    <w:rsid w:val="00B70812"/>
    <w:rsid w:val="00B71B1A"/>
    <w:rsid w:val="00B71EAB"/>
    <w:rsid w:val="00B72C73"/>
    <w:rsid w:val="00B72DB2"/>
    <w:rsid w:val="00B74D07"/>
    <w:rsid w:val="00B75B5A"/>
    <w:rsid w:val="00B77391"/>
    <w:rsid w:val="00B80012"/>
    <w:rsid w:val="00B8012D"/>
    <w:rsid w:val="00B801B9"/>
    <w:rsid w:val="00B803EA"/>
    <w:rsid w:val="00B80AF5"/>
    <w:rsid w:val="00B817E9"/>
    <w:rsid w:val="00B8259F"/>
    <w:rsid w:val="00B82D91"/>
    <w:rsid w:val="00B83CDE"/>
    <w:rsid w:val="00B84156"/>
    <w:rsid w:val="00B84476"/>
    <w:rsid w:val="00B8474C"/>
    <w:rsid w:val="00B8500D"/>
    <w:rsid w:val="00B85491"/>
    <w:rsid w:val="00B8586E"/>
    <w:rsid w:val="00B864B7"/>
    <w:rsid w:val="00B86536"/>
    <w:rsid w:val="00B86E6F"/>
    <w:rsid w:val="00B87A42"/>
    <w:rsid w:val="00B87DB3"/>
    <w:rsid w:val="00B904BD"/>
    <w:rsid w:val="00B908AA"/>
    <w:rsid w:val="00B915F1"/>
    <w:rsid w:val="00B92BC2"/>
    <w:rsid w:val="00B93CD9"/>
    <w:rsid w:val="00B94092"/>
    <w:rsid w:val="00B94FB5"/>
    <w:rsid w:val="00B952D0"/>
    <w:rsid w:val="00B95C12"/>
    <w:rsid w:val="00B95C21"/>
    <w:rsid w:val="00B966A8"/>
    <w:rsid w:val="00B9787F"/>
    <w:rsid w:val="00BA202E"/>
    <w:rsid w:val="00BA5CDA"/>
    <w:rsid w:val="00BA64B9"/>
    <w:rsid w:val="00BA6E6E"/>
    <w:rsid w:val="00BA7FA2"/>
    <w:rsid w:val="00BB05B2"/>
    <w:rsid w:val="00BB09B6"/>
    <w:rsid w:val="00BB1F15"/>
    <w:rsid w:val="00BB23AD"/>
    <w:rsid w:val="00BB26D5"/>
    <w:rsid w:val="00BB2765"/>
    <w:rsid w:val="00BB2DD8"/>
    <w:rsid w:val="00BB35AC"/>
    <w:rsid w:val="00BB3950"/>
    <w:rsid w:val="00BB4990"/>
    <w:rsid w:val="00BB4A9B"/>
    <w:rsid w:val="00BB4D48"/>
    <w:rsid w:val="00BB5DEA"/>
    <w:rsid w:val="00BB6889"/>
    <w:rsid w:val="00BB6B20"/>
    <w:rsid w:val="00BB75BA"/>
    <w:rsid w:val="00BB77A1"/>
    <w:rsid w:val="00BC042E"/>
    <w:rsid w:val="00BC08E2"/>
    <w:rsid w:val="00BC1900"/>
    <w:rsid w:val="00BC19EE"/>
    <w:rsid w:val="00BC2788"/>
    <w:rsid w:val="00BC364B"/>
    <w:rsid w:val="00BC3703"/>
    <w:rsid w:val="00BC40F5"/>
    <w:rsid w:val="00BC4DAF"/>
    <w:rsid w:val="00BC5007"/>
    <w:rsid w:val="00BC541D"/>
    <w:rsid w:val="00BC697D"/>
    <w:rsid w:val="00BC702B"/>
    <w:rsid w:val="00BC7952"/>
    <w:rsid w:val="00BC7A84"/>
    <w:rsid w:val="00BD04B8"/>
    <w:rsid w:val="00BD10B6"/>
    <w:rsid w:val="00BD1452"/>
    <w:rsid w:val="00BD15E0"/>
    <w:rsid w:val="00BD3238"/>
    <w:rsid w:val="00BD387B"/>
    <w:rsid w:val="00BD54AA"/>
    <w:rsid w:val="00BD5CB9"/>
    <w:rsid w:val="00BD65EC"/>
    <w:rsid w:val="00BD67E6"/>
    <w:rsid w:val="00BE35ED"/>
    <w:rsid w:val="00BE547B"/>
    <w:rsid w:val="00BE5F5C"/>
    <w:rsid w:val="00BE6B96"/>
    <w:rsid w:val="00BE6D43"/>
    <w:rsid w:val="00BF08ED"/>
    <w:rsid w:val="00BF2495"/>
    <w:rsid w:val="00BF2A16"/>
    <w:rsid w:val="00BF3BA6"/>
    <w:rsid w:val="00BF4886"/>
    <w:rsid w:val="00BF4B35"/>
    <w:rsid w:val="00BF64F2"/>
    <w:rsid w:val="00BF70D3"/>
    <w:rsid w:val="00BF75BD"/>
    <w:rsid w:val="00BF7EB3"/>
    <w:rsid w:val="00C003DB"/>
    <w:rsid w:val="00C00977"/>
    <w:rsid w:val="00C0155F"/>
    <w:rsid w:val="00C01A81"/>
    <w:rsid w:val="00C026AB"/>
    <w:rsid w:val="00C04008"/>
    <w:rsid w:val="00C041DD"/>
    <w:rsid w:val="00C05AA0"/>
    <w:rsid w:val="00C05B17"/>
    <w:rsid w:val="00C06B8B"/>
    <w:rsid w:val="00C076C3"/>
    <w:rsid w:val="00C07A48"/>
    <w:rsid w:val="00C10D03"/>
    <w:rsid w:val="00C13470"/>
    <w:rsid w:val="00C135E3"/>
    <w:rsid w:val="00C13D34"/>
    <w:rsid w:val="00C143B1"/>
    <w:rsid w:val="00C14CF9"/>
    <w:rsid w:val="00C1504D"/>
    <w:rsid w:val="00C15867"/>
    <w:rsid w:val="00C15A89"/>
    <w:rsid w:val="00C15FEC"/>
    <w:rsid w:val="00C16537"/>
    <w:rsid w:val="00C16EA5"/>
    <w:rsid w:val="00C17004"/>
    <w:rsid w:val="00C1705C"/>
    <w:rsid w:val="00C1739E"/>
    <w:rsid w:val="00C227B4"/>
    <w:rsid w:val="00C22919"/>
    <w:rsid w:val="00C231AA"/>
    <w:rsid w:val="00C231DC"/>
    <w:rsid w:val="00C240C4"/>
    <w:rsid w:val="00C24F05"/>
    <w:rsid w:val="00C2506A"/>
    <w:rsid w:val="00C25218"/>
    <w:rsid w:val="00C2576E"/>
    <w:rsid w:val="00C267E7"/>
    <w:rsid w:val="00C26CE8"/>
    <w:rsid w:val="00C3009B"/>
    <w:rsid w:val="00C3017F"/>
    <w:rsid w:val="00C31775"/>
    <w:rsid w:val="00C3290C"/>
    <w:rsid w:val="00C34121"/>
    <w:rsid w:val="00C35B76"/>
    <w:rsid w:val="00C3648D"/>
    <w:rsid w:val="00C417D7"/>
    <w:rsid w:val="00C4221C"/>
    <w:rsid w:val="00C42A48"/>
    <w:rsid w:val="00C449C1"/>
    <w:rsid w:val="00C44AA5"/>
    <w:rsid w:val="00C44E80"/>
    <w:rsid w:val="00C44FBE"/>
    <w:rsid w:val="00C4511E"/>
    <w:rsid w:val="00C46627"/>
    <w:rsid w:val="00C504E7"/>
    <w:rsid w:val="00C528AC"/>
    <w:rsid w:val="00C53613"/>
    <w:rsid w:val="00C5363C"/>
    <w:rsid w:val="00C54C93"/>
    <w:rsid w:val="00C56217"/>
    <w:rsid w:val="00C56AA9"/>
    <w:rsid w:val="00C605E0"/>
    <w:rsid w:val="00C60921"/>
    <w:rsid w:val="00C610A4"/>
    <w:rsid w:val="00C61FFA"/>
    <w:rsid w:val="00C62AE9"/>
    <w:rsid w:val="00C62BE5"/>
    <w:rsid w:val="00C6335B"/>
    <w:rsid w:val="00C63B4B"/>
    <w:rsid w:val="00C6449D"/>
    <w:rsid w:val="00C6472D"/>
    <w:rsid w:val="00C669A2"/>
    <w:rsid w:val="00C66E45"/>
    <w:rsid w:val="00C66F38"/>
    <w:rsid w:val="00C7068D"/>
    <w:rsid w:val="00C7082A"/>
    <w:rsid w:val="00C71CD0"/>
    <w:rsid w:val="00C71FB2"/>
    <w:rsid w:val="00C72BCC"/>
    <w:rsid w:val="00C72D4B"/>
    <w:rsid w:val="00C739DC"/>
    <w:rsid w:val="00C741B6"/>
    <w:rsid w:val="00C74928"/>
    <w:rsid w:val="00C75ABA"/>
    <w:rsid w:val="00C771FC"/>
    <w:rsid w:val="00C77807"/>
    <w:rsid w:val="00C80246"/>
    <w:rsid w:val="00C802AB"/>
    <w:rsid w:val="00C80CE0"/>
    <w:rsid w:val="00C81029"/>
    <w:rsid w:val="00C813EF"/>
    <w:rsid w:val="00C82A29"/>
    <w:rsid w:val="00C84860"/>
    <w:rsid w:val="00C8574A"/>
    <w:rsid w:val="00C8646E"/>
    <w:rsid w:val="00C8659A"/>
    <w:rsid w:val="00C8686B"/>
    <w:rsid w:val="00C86E8C"/>
    <w:rsid w:val="00C90293"/>
    <w:rsid w:val="00C904D4"/>
    <w:rsid w:val="00C90B5C"/>
    <w:rsid w:val="00C90FA6"/>
    <w:rsid w:val="00C90FA8"/>
    <w:rsid w:val="00C913A0"/>
    <w:rsid w:val="00C91A5C"/>
    <w:rsid w:val="00C92503"/>
    <w:rsid w:val="00C926B1"/>
    <w:rsid w:val="00C92CBA"/>
    <w:rsid w:val="00C9304F"/>
    <w:rsid w:val="00C93B3F"/>
    <w:rsid w:val="00C94E59"/>
    <w:rsid w:val="00C95DE7"/>
    <w:rsid w:val="00C965E4"/>
    <w:rsid w:val="00C968EE"/>
    <w:rsid w:val="00C96C1B"/>
    <w:rsid w:val="00C97448"/>
    <w:rsid w:val="00CA0B01"/>
    <w:rsid w:val="00CA0B04"/>
    <w:rsid w:val="00CA1411"/>
    <w:rsid w:val="00CA163A"/>
    <w:rsid w:val="00CA1AD5"/>
    <w:rsid w:val="00CA2DE5"/>
    <w:rsid w:val="00CA2F53"/>
    <w:rsid w:val="00CA4685"/>
    <w:rsid w:val="00CA4ED1"/>
    <w:rsid w:val="00CA53B8"/>
    <w:rsid w:val="00CA5870"/>
    <w:rsid w:val="00CA5F5F"/>
    <w:rsid w:val="00CA786F"/>
    <w:rsid w:val="00CA7E73"/>
    <w:rsid w:val="00CB0F5C"/>
    <w:rsid w:val="00CB1606"/>
    <w:rsid w:val="00CB3188"/>
    <w:rsid w:val="00CB334E"/>
    <w:rsid w:val="00CB3B2E"/>
    <w:rsid w:val="00CB4B9E"/>
    <w:rsid w:val="00CB4BDA"/>
    <w:rsid w:val="00CB4F81"/>
    <w:rsid w:val="00CB55D4"/>
    <w:rsid w:val="00CB5C0F"/>
    <w:rsid w:val="00CB693C"/>
    <w:rsid w:val="00CB6B63"/>
    <w:rsid w:val="00CB79F6"/>
    <w:rsid w:val="00CC006F"/>
    <w:rsid w:val="00CC1EE8"/>
    <w:rsid w:val="00CC23C0"/>
    <w:rsid w:val="00CC2C89"/>
    <w:rsid w:val="00CC4BB4"/>
    <w:rsid w:val="00CC4F04"/>
    <w:rsid w:val="00CC6032"/>
    <w:rsid w:val="00CC6433"/>
    <w:rsid w:val="00CC70E7"/>
    <w:rsid w:val="00CD0935"/>
    <w:rsid w:val="00CD16FB"/>
    <w:rsid w:val="00CD1980"/>
    <w:rsid w:val="00CD25FD"/>
    <w:rsid w:val="00CD3973"/>
    <w:rsid w:val="00CD3EE2"/>
    <w:rsid w:val="00CD4CE9"/>
    <w:rsid w:val="00CD7699"/>
    <w:rsid w:val="00CE11F9"/>
    <w:rsid w:val="00CE1A87"/>
    <w:rsid w:val="00CE47E9"/>
    <w:rsid w:val="00CE4BD2"/>
    <w:rsid w:val="00CE6D37"/>
    <w:rsid w:val="00CF00A2"/>
    <w:rsid w:val="00CF0120"/>
    <w:rsid w:val="00CF0A21"/>
    <w:rsid w:val="00CF246D"/>
    <w:rsid w:val="00CF29F4"/>
    <w:rsid w:val="00CF2D02"/>
    <w:rsid w:val="00CF5DF4"/>
    <w:rsid w:val="00CF6409"/>
    <w:rsid w:val="00CF64FE"/>
    <w:rsid w:val="00CF7721"/>
    <w:rsid w:val="00D0088A"/>
    <w:rsid w:val="00D0175E"/>
    <w:rsid w:val="00D01910"/>
    <w:rsid w:val="00D01DFA"/>
    <w:rsid w:val="00D03298"/>
    <w:rsid w:val="00D033FF"/>
    <w:rsid w:val="00D06CE8"/>
    <w:rsid w:val="00D10775"/>
    <w:rsid w:val="00D1331A"/>
    <w:rsid w:val="00D13A78"/>
    <w:rsid w:val="00D13AA7"/>
    <w:rsid w:val="00D14A69"/>
    <w:rsid w:val="00D14FF6"/>
    <w:rsid w:val="00D158DF"/>
    <w:rsid w:val="00D17B77"/>
    <w:rsid w:val="00D21233"/>
    <w:rsid w:val="00D22AC4"/>
    <w:rsid w:val="00D235F4"/>
    <w:rsid w:val="00D23619"/>
    <w:rsid w:val="00D24B8E"/>
    <w:rsid w:val="00D25F70"/>
    <w:rsid w:val="00D262FA"/>
    <w:rsid w:val="00D26557"/>
    <w:rsid w:val="00D26D72"/>
    <w:rsid w:val="00D26E9F"/>
    <w:rsid w:val="00D26EA6"/>
    <w:rsid w:val="00D27976"/>
    <w:rsid w:val="00D3039C"/>
    <w:rsid w:val="00D31007"/>
    <w:rsid w:val="00D3139B"/>
    <w:rsid w:val="00D32CC9"/>
    <w:rsid w:val="00D3389B"/>
    <w:rsid w:val="00D351E3"/>
    <w:rsid w:val="00D3570A"/>
    <w:rsid w:val="00D3600A"/>
    <w:rsid w:val="00D37BFC"/>
    <w:rsid w:val="00D424CA"/>
    <w:rsid w:val="00D42E0A"/>
    <w:rsid w:val="00D444F1"/>
    <w:rsid w:val="00D44EAB"/>
    <w:rsid w:val="00D45154"/>
    <w:rsid w:val="00D4554D"/>
    <w:rsid w:val="00D4561B"/>
    <w:rsid w:val="00D500EF"/>
    <w:rsid w:val="00D50314"/>
    <w:rsid w:val="00D5089A"/>
    <w:rsid w:val="00D50C13"/>
    <w:rsid w:val="00D5221F"/>
    <w:rsid w:val="00D5259D"/>
    <w:rsid w:val="00D52E3B"/>
    <w:rsid w:val="00D53099"/>
    <w:rsid w:val="00D53384"/>
    <w:rsid w:val="00D543EC"/>
    <w:rsid w:val="00D548A9"/>
    <w:rsid w:val="00D54BC3"/>
    <w:rsid w:val="00D55961"/>
    <w:rsid w:val="00D559FB"/>
    <w:rsid w:val="00D57174"/>
    <w:rsid w:val="00D606C8"/>
    <w:rsid w:val="00D61F79"/>
    <w:rsid w:val="00D633E0"/>
    <w:rsid w:val="00D63F7D"/>
    <w:rsid w:val="00D642D0"/>
    <w:rsid w:val="00D66434"/>
    <w:rsid w:val="00D665C9"/>
    <w:rsid w:val="00D7095F"/>
    <w:rsid w:val="00D725A3"/>
    <w:rsid w:val="00D72788"/>
    <w:rsid w:val="00D72D83"/>
    <w:rsid w:val="00D73048"/>
    <w:rsid w:val="00D736CF"/>
    <w:rsid w:val="00D74868"/>
    <w:rsid w:val="00D760C5"/>
    <w:rsid w:val="00D7617C"/>
    <w:rsid w:val="00D77827"/>
    <w:rsid w:val="00D77AB7"/>
    <w:rsid w:val="00D807FA"/>
    <w:rsid w:val="00D81925"/>
    <w:rsid w:val="00D819E7"/>
    <w:rsid w:val="00D8226C"/>
    <w:rsid w:val="00D82A41"/>
    <w:rsid w:val="00D83473"/>
    <w:rsid w:val="00D83C24"/>
    <w:rsid w:val="00D85B56"/>
    <w:rsid w:val="00D87FD2"/>
    <w:rsid w:val="00D90872"/>
    <w:rsid w:val="00D91F25"/>
    <w:rsid w:val="00D92C5F"/>
    <w:rsid w:val="00D92E4A"/>
    <w:rsid w:val="00D93EE9"/>
    <w:rsid w:val="00D94CD3"/>
    <w:rsid w:val="00D94FA8"/>
    <w:rsid w:val="00D95A44"/>
    <w:rsid w:val="00D95D56"/>
    <w:rsid w:val="00D95FC2"/>
    <w:rsid w:val="00D95FC7"/>
    <w:rsid w:val="00D96018"/>
    <w:rsid w:val="00D96690"/>
    <w:rsid w:val="00D975B6"/>
    <w:rsid w:val="00DA0288"/>
    <w:rsid w:val="00DA02DB"/>
    <w:rsid w:val="00DA1881"/>
    <w:rsid w:val="00DA3631"/>
    <w:rsid w:val="00DA3B0F"/>
    <w:rsid w:val="00DA55CD"/>
    <w:rsid w:val="00DA5A45"/>
    <w:rsid w:val="00DA5C3D"/>
    <w:rsid w:val="00DA6450"/>
    <w:rsid w:val="00DA6532"/>
    <w:rsid w:val="00DB01CD"/>
    <w:rsid w:val="00DB0259"/>
    <w:rsid w:val="00DB02DD"/>
    <w:rsid w:val="00DB11B8"/>
    <w:rsid w:val="00DB3B59"/>
    <w:rsid w:val="00DB4396"/>
    <w:rsid w:val="00DB44C2"/>
    <w:rsid w:val="00DB4566"/>
    <w:rsid w:val="00DB4B69"/>
    <w:rsid w:val="00DB4B8B"/>
    <w:rsid w:val="00DB5D5E"/>
    <w:rsid w:val="00DB6694"/>
    <w:rsid w:val="00DB74AA"/>
    <w:rsid w:val="00DB78A7"/>
    <w:rsid w:val="00DC0592"/>
    <w:rsid w:val="00DC2E1A"/>
    <w:rsid w:val="00DC3470"/>
    <w:rsid w:val="00DC35F0"/>
    <w:rsid w:val="00DC5C3D"/>
    <w:rsid w:val="00DC5D68"/>
    <w:rsid w:val="00DC6054"/>
    <w:rsid w:val="00DC6398"/>
    <w:rsid w:val="00DC688D"/>
    <w:rsid w:val="00DC7D89"/>
    <w:rsid w:val="00DC7F22"/>
    <w:rsid w:val="00DD004D"/>
    <w:rsid w:val="00DD05AB"/>
    <w:rsid w:val="00DD0904"/>
    <w:rsid w:val="00DD0924"/>
    <w:rsid w:val="00DD0C1E"/>
    <w:rsid w:val="00DD1432"/>
    <w:rsid w:val="00DD16A8"/>
    <w:rsid w:val="00DD2B6A"/>
    <w:rsid w:val="00DD2FB2"/>
    <w:rsid w:val="00DD42AD"/>
    <w:rsid w:val="00DD5ED1"/>
    <w:rsid w:val="00DD7792"/>
    <w:rsid w:val="00DE01F6"/>
    <w:rsid w:val="00DE123B"/>
    <w:rsid w:val="00DE1C60"/>
    <w:rsid w:val="00DE2B06"/>
    <w:rsid w:val="00DE2E94"/>
    <w:rsid w:val="00DE2F6C"/>
    <w:rsid w:val="00DE4931"/>
    <w:rsid w:val="00DE522F"/>
    <w:rsid w:val="00DE61A2"/>
    <w:rsid w:val="00DE671E"/>
    <w:rsid w:val="00DE7068"/>
    <w:rsid w:val="00DE7B97"/>
    <w:rsid w:val="00DE7D5D"/>
    <w:rsid w:val="00DF1848"/>
    <w:rsid w:val="00DF2B43"/>
    <w:rsid w:val="00DF7F4A"/>
    <w:rsid w:val="00E00E6A"/>
    <w:rsid w:val="00E0139B"/>
    <w:rsid w:val="00E01722"/>
    <w:rsid w:val="00E01F42"/>
    <w:rsid w:val="00E028BF"/>
    <w:rsid w:val="00E02B93"/>
    <w:rsid w:val="00E02FA1"/>
    <w:rsid w:val="00E03434"/>
    <w:rsid w:val="00E04037"/>
    <w:rsid w:val="00E04A08"/>
    <w:rsid w:val="00E04CD6"/>
    <w:rsid w:val="00E05A08"/>
    <w:rsid w:val="00E05CFD"/>
    <w:rsid w:val="00E07915"/>
    <w:rsid w:val="00E07966"/>
    <w:rsid w:val="00E13351"/>
    <w:rsid w:val="00E1382D"/>
    <w:rsid w:val="00E20DF7"/>
    <w:rsid w:val="00E214D5"/>
    <w:rsid w:val="00E2151F"/>
    <w:rsid w:val="00E2192E"/>
    <w:rsid w:val="00E21DC3"/>
    <w:rsid w:val="00E23382"/>
    <w:rsid w:val="00E233F2"/>
    <w:rsid w:val="00E239A5"/>
    <w:rsid w:val="00E24227"/>
    <w:rsid w:val="00E24F96"/>
    <w:rsid w:val="00E253FF"/>
    <w:rsid w:val="00E25427"/>
    <w:rsid w:val="00E2599D"/>
    <w:rsid w:val="00E26C07"/>
    <w:rsid w:val="00E270DA"/>
    <w:rsid w:val="00E313BE"/>
    <w:rsid w:val="00E313C1"/>
    <w:rsid w:val="00E333A2"/>
    <w:rsid w:val="00E341C3"/>
    <w:rsid w:val="00E34288"/>
    <w:rsid w:val="00E34F9A"/>
    <w:rsid w:val="00E350A9"/>
    <w:rsid w:val="00E352AB"/>
    <w:rsid w:val="00E35EEC"/>
    <w:rsid w:val="00E3634E"/>
    <w:rsid w:val="00E373E2"/>
    <w:rsid w:val="00E37A99"/>
    <w:rsid w:val="00E4004B"/>
    <w:rsid w:val="00E4081F"/>
    <w:rsid w:val="00E4187C"/>
    <w:rsid w:val="00E43EB3"/>
    <w:rsid w:val="00E43FCD"/>
    <w:rsid w:val="00E4431E"/>
    <w:rsid w:val="00E44426"/>
    <w:rsid w:val="00E444D2"/>
    <w:rsid w:val="00E4529F"/>
    <w:rsid w:val="00E45E53"/>
    <w:rsid w:val="00E462AA"/>
    <w:rsid w:val="00E46B63"/>
    <w:rsid w:val="00E46CD2"/>
    <w:rsid w:val="00E474D5"/>
    <w:rsid w:val="00E50265"/>
    <w:rsid w:val="00E50728"/>
    <w:rsid w:val="00E517C2"/>
    <w:rsid w:val="00E51BBC"/>
    <w:rsid w:val="00E51CD7"/>
    <w:rsid w:val="00E545A8"/>
    <w:rsid w:val="00E551D3"/>
    <w:rsid w:val="00E565E8"/>
    <w:rsid w:val="00E56C2F"/>
    <w:rsid w:val="00E5776C"/>
    <w:rsid w:val="00E619F6"/>
    <w:rsid w:val="00E61D64"/>
    <w:rsid w:val="00E646B8"/>
    <w:rsid w:val="00E64F2E"/>
    <w:rsid w:val="00E65001"/>
    <w:rsid w:val="00E654F6"/>
    <w:rsid w:val="00E66B72"/>
    <w:rsid w:val="00E676C1"/>
    <w:rsid w:val="00E7026F"/>
    <w:rsid w:val="00E7118B"/>
    <w:rsid w:val="00E716D3"/>
    <w:rsid w:val="00E74716"/>
    <w:rsid w:val="00E74AE7"/>
    <w:rsid w:val="00E75332"/>
    <w:rsid w:val="00E756A2"/>
    <w:rsid w:val="00E75A6A"/>
    <w:rsid w:val="00E7620A"/>
    <w:rsid w:val="00E801C8"/>
    <w:rsid w:val="00E8099B"/>
    <w:rsid w:val="00E80E76"/>
    <w:rsid w:val="00E818B3"/>
    <w:rsid w:val="00E8245E"/>
    <w:rsid w:val="00E83500"/>
    <w:rsid w:val="00E83BB6"/>
    <w:rsid w:val="00E83F55"/>
    <w:rsid w:val="00E85258"/>
    <w:rsid w:val="00E85BBE"/>
    <w:rsid w:val="00E8630B"/>
    <w:rsid w:val="00E871FF"/>
    <w:rsid w:val="00E87DCA"/>
    <w:rsid w:val="00E900B3"/>
    <w:rsid w:val="00E90B63"/>
    <w:rsid w:val="00E9165D"/>
    <w:rsid w:val="00E92A0E"/>
    <w:rsid w:val="00E93BBC"/>
    <w:rsid w:val="00E9541D"/>
    <w:rsid w:val="00E95BB3"/>
    <w:rsid w:val="00E95FBA"/>
    <w:rsid w:val="00E96033"/>
    <w:rsid w:val="00E96DA8"/>
    <w:rsid w:val="00E96E63"/>
    <w:rsid w:val="00E97758"/>
    <w:rsid w:val="00EA096E"/>
    <w:rsid w:val="00EA0AEC"/>
    <w:rsid w:val="00EA3282"/>
    <w:rsid w:val="00EA3EED"/>
    <w:rsid w:val="00EA40E2"/>
    <w:rsid w:val="00EA6F13"/>
    <w:rsid w:val="00EA76B5"/>
    <w:rsid w:val="00EB2174"/>
    <w:rsid w:val="00EB32A8"/>
    <w:rsid w:val="00EB3394"/>
    <w:rsid w:val="00EB3C3A"/>
    <w:rsid w:val="00EB3CF5"/>
    <w:rsid w:val="00EB6152"/>
    <w:rsid w:val="00EB6856"/>
    <w:rsid w:val="00EB6894"/>
    <w:rsid w:val="00EC0070"/>
    <w:rsid w:val="00EC068A"/>
    <w:rsid w:val="00EC0A05"/>
    <w:rsid w:val="00EC0A25"/>
    <w:rsid w:val="00EC24D8"/>
    <w:rsid w:val="00EC2E10"/>
    <w:rsid w:val="00EC30AF"/>
    <w:rsid w:val="00EC42E6"/>
    <w:rsid w:val="00EC4A42"/>
    <w:rsid w:val="00EC5CD9"/>
    <w:rsid w:val="00EC5EFF"/>
    <w:rsid w:val="00EC6E97"/>
    <w:rsid w:val="00EC6FB0"/>
    <w:rsid w:val="00ED0929"/>
    <w:rsid w:val="00ED47CE"/>
    <w:rsid w:val="00ED6C68"/>
    <w:rsid w:val="00EE2594"/>
    <w:rsid w:val="00EE28A6"/>
    <w:rsid w:val="00EE28FE"/>
    <w:rsid w:val="00EE33B2"/>
    <w:rsid w:val="00EE60F2"/>
    <w:rsid w:val="00EE67A8"/>
    <w:rsid w:val="00EE6875"/>
    <w:rsid w:val="00EE68C2"/>
    <w:rsid w:val="00EE6C20"/>
    <w:rsid w:val="00EE7519"/>
    <w:rsid w:val="00EE75D1"/>
    <w:rsid w:val="00EE7E28"/>
    <w:rsid w:val="00EF0B88"/>
    <w:rsid w:val="00EF1098"/>
    <w:rsid w:val="00EF14CB"/>
    <w:rsid w:val="00EF1539"/>
    <w:rsid w:val="00EF16D3"/>
    <w:rsid w:val="00EF1D45"/>
    <w:rsid w:val="00EF27AF"/>
    <w:rsid w:val="00EF3552"/>
    <w:rsid w:val="00EF3D87"/>
    <w:rsid w:val="00EF3FA8"/>
    <w:rsid w:val="00EF4E4B"/>
    <w:rsid w:val="00EF54BD"/>
    <w:rsid w:val="00EF6C69"/>
    <w:rsid w:val="00EF6D9C"/>
    <w:rsid w:val="00EF6E3E"/>
    <w:rsid w:val="00EF7FF3"/>
    <w:rsid w:val="00F00D05"/>
    <w:rsid w:val="00F0111C"/>
    <w:rsid w:val="00F0183D"/>
    <w:rsid w:val="00F02072"/>
    <w:rsid w:val="00F02180"/>
    <w:rsid w:val="00F045CE"/>
    <w:rsid w:val="00F061E6"/>
    <w:rsid w:val="00F06920"/>
    <w:rsid w:val="00F06FC6"/>
    <w:rsid w:val="00F07537"/>
    <w:rsid w:val="00F076C7"/>
    <w:rsid w:val="00F077E7"/>
    <w:rsid w:val="00F10BB8"/>
    <w:rsid w:val="00F1356F"/>
    <w:rsid w:val="00F1377B"/>
    <w:rsid w:val="00F1387C"/>
    <w:rsid w:val="00F13B22"/>
    <w:rsid w:val="00F14772"/>
    <w:rsid w:val="00F14D42"/>
    <w:rsid w:val="00F166D3"/>
    <w:rsid w:val="00F167E6"/>
    <w:rsid w:val="00F1692D"/>
    <w:rsid w:val="00F16C4B"/>
    <w:rsid w:val="00F1764E"/>
    <w:rsid w:val="00F2091E"/>
    <w:rsid w:val="00F20ACC"/>
    <w:rsid w:val="00F20B6C"/>
    <w:rsid w:val="00F21C73"/>
    <w:rsid w:val="00F22B3F"/>
    <w:rsid w:val="00F24356"/>
    <w:rsid w:val="00F24566"/>
    <w:rsid w:val="00F24D46"/>
    <w:rsid w:val="00F300BC"/>
    <w:rsid w:val="00F30EBC"/>
    <w:rsid w:val="00F31B6E"/>
    <w:rsid w:val="00F324FE"/>
    <w:rsid w:val="00F329D4"/>
    <w:rsid w:val="00F32AB9"/>
    <w:rsid w:val="00F34545"/>
    <w:rsid w:val="00F34974"/>
    <w:rsid w:val="00F34D9A"/>
    <w:rsid w:val="00F3572E"/>
    <w:rsid w:val="00F35E69"/>
    <w:rsid w:val="00F36601"/>
    <w:rsid w:val="00F36E7E"/>
    <w:rsid w:val="00F372A5"/>
    <w:rsid w:val="00F37F9B"/>
    <w:rsid w:val="00F41345"/>
    <w:rsid w:val="00F4367A"/>
    <w:rsid w:val="00F44151"/>
    <w:rsid w:val="00F44486"/>
    <w:rsid w:val="00F449CB"/>
    <w:rsid w:val="00F4559D"/>
    <w:rsid w:val="00F462F8"/>
    <w:rsid w:val="00F46356"/>
    <w:rsid w:val="00F4674C"/>
    <w:rsid w:val="00F4694E"/>
    <w:rsid w:val="00F46CB7"/>
    <w:rsid w:val="00F47D2B"/>
    <w:rsid w:val="00F502C4"/>
    <w:rsid w:val="00F50A73"/>
    <w:rsid w:val="00F50E98"/>
    <w:rsid w:val="00F53CE2"/>
    <w:rsid w:val="00F54FA6"/>
    <w:rsid w:val="00F55851"/>
    <w:rsid w:val="00F57034"/>
    <w:rsid w:val="00F573C2"/>
    <w:rsid w:val="00F57995"/>
    <w:rsid w:val="00F6001D"/>
    <w:rsid w:val="00F60D12"/>
    <w:rsid w:val="00F6139F"/>
    <w:rsid w:val="00F616AD"/>
    <w:rsid w:val="00F61DFB"/>
    <w:rsid w:val="00F6224D"/>
    <w:rsid w:val="00F636F4"/>
    <w:rsid w:val="00F63D92"/>
    <w:rsid w:val="00F63FBF"/>
    <w:rsid w:val="00F641DA"/>
    <w:rsid w:val="00F645ED"/>
    <w:rsid w:val="00F65187"/>
    <w:rsid w:val="00F654C3"/>
    <w:rsid w:val="00F67248"/>
    <w:rsid w:val="00F71927"/>
    <w:rsid w:val="00F71A57"/>
    <w:rsid w:val="00F724B1"/>
    <w:rsid w:val="00F7298C"/>
    <w:rsid w:val="00F72C41"/>
    <w:rsid w:val="00F730B5"/>
    <w:rsid w:val="00F73476"/>
    <w:rsid w:val="00F735F9"/>
    <w:rsid w:val="00F74748"/>
    <w:rsid w:val="00F75598"/>
    <w:rsid w:val="00F75E30"/>
    <w:rsid w:val="00F76B61"/>
    <w:rsid w:val="00F76C85"/>
    <w:rsid w:val="00F77EA0"/>
    <w:rsid w:val="00F80B77"/>
    <w:rsid w:val="00F80E37"/>
    <w:rsid w:val="00F81193"/>
    <w:rsid w:val="00F816C2"/>
    <w:rsid w:val="00F81BB5"/>
    <w:rsid w:val="00F81F3F"/>
    <w:rsid w:val="00F84748"/>
    <w:rsid w:val="00F9010E"/>
    <w:rsid w:val="00F9093C"/>
    <w:rsid w:val="00F91BFB"/>
    <w:rsid w:val="00F91D22"/>
    <w:rsid w:val="00F91E06"/>
    <w:rsid w:val="00F92AF2"/>
    <w:rsid w:val="00F939E1"/>
    <w:rsid w:val="00F94A21"/>
    <w:rsid w:val="00F966A4"/>
    <w:rsid w:val="00F96D5D"/>
    <w:rsid w:val="00FA00E2"/>
    <w:rsid w:val="00FA015C"/>
    <w:rsid w:val="00FA0BC7"/>
    <w:rsid w:val="00FA0EDA"/>
    <w:rsid w:val="00FA2CFF"/>
    <w:rsid w:val="00FA2FF9"/>
    <w:rsid w:val="00FA43E6"/>
    <w:rsid w:val="00FA525D"/>
    <w:rsid w:val="00FA5ABC"/>
    <w:rsid w:val="00FB09EC"/>
    <w:rsid w:val="00FB14CD"/>
    <w:rsid w:val="00FB18F7"/>
    <w:rsid w:val="00FB642C"/>
    <w:rsid w:val="00FB76C6"/>
    <w:rsid w:val="00FB7889"/>
    <w:rsid w:val="00FB7A1B"/>
    <w:rsid w:val="00FC0126"/>
    <w:rsid w:val="00FC03CE"/>
    <w:rsid w:val="00FC17F9"/>
    <w:rsid w:val="00FC1AE5"/>
    <w:rsid w:val="00FC35F9"/>
    <w:rsid w:val="00FC3A80"/>
    <w:rsid w:val="00FC3B51"/>
    <w:rsid w:val="00FC3C3C"/>
    <w:rsid w:val="00FC40DC"/>
    <w:rsid w:val="00FC435E"/>
    <w:rsid w:val="00FC555E"/>
    <w:rsid w:val="00FC7B99"/>
    <w:rsid w:val="00FD0B1D"/>
    <w:rsid w:val="00FD1C08"/>
    <w:rsid w:val="00FD2457"/>
    <w:rsid w:val="00FD2463"/>
    <w:rsid w:val="00FD359F"/>
    <w:rsid w:val="00FD4A6F"/>
    <w:rsid w:val="00FD5D6C"/>
    <w:rsid w:val="00FD6E26"/>
    <w:rsid w:val="00FE2B0D"/>
    <w:rsid w:val="00FE43EB"/>
    <w:rsid w:val="00FE5E1E"/>
    <w:rsid w:val="00FE6851"/>
    <w:rsid w:val="00FE6922"/>
    <w:rsid w:val="00FE6AC6"/>
    <w:rsid w:val="00FF2493"/>
    <w:rsid w:val="00FF2BEF"/>
    <w:rsid w:val="00FF318F"/>
    <w:rsid w:val="00FF4484"/>
    <w:rsid w:val="00FF4673"/>
    <w:rsid w:val="00FF4B79"/>
    <w:rsid w:val="00FF56EE"/>
    <w:rsid w:val="00FF64EC"/>
    <w:rsid w:val="00FF6A42"/>
    <w:rsid w:val="00FF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9BF159"/>
  <w15:docId w15:val="{CBE1AC03-4A96-42B1-B353-4E0007E4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F74"/>
    <w:pPr>
      <w:spacing w:after="120"/>
    </w:pPr>
    <w:rPr>
      <w:rFonts w:ascii="Arial" w:hAnsi="Arial"/>
      <w:color w:val="000000"/>
      <w:sz w:val="24"/>
      <w:szCs w:val="24"/>
    </w:rPr>
  </w:style>
  <w:style w:type="paragraph" w:styleId="Heading1">
    <w:name w:val="heading 1"/>
    <w:aliases w:val="aHeading"/>
    <w:basedOn w:val="Normal"/>
    <w:next w:val="Normal"/>
    <w:link w:val="Heading1Char"/>
    <w:qFormat/>
    <w:rsid w:val="00090F74"/>
    <w:pPr>
      <w:spacing w:before="240"/>
      <w:outlineLvl w:val="0"/>
    </w:pPr>
    <w:rPr>
      <w:b/>
    </w:rPr>
  </w:style>
  <w:style w:type="paragraph" w:styleId="Heading2">
    <w:name w:val="heading 2"/>
    <w:aliases w:val="Sub-heading"/>
    <w:basedOn w:val="Normal"/>
    <w:next w:val="Normal"/>
    <w:qFormat/>
    <w:rsid w:val="00090F74"/>
    <w:pPr>
      <w:outlineLvl w:val="1"/>
    </w:pPr>
    <w:rPr>
      <w:u w:val="single"/>
    </w:rPr>
  </w:style>
  <w:style w:type="paragraph" w:styleId="Heading3">
    <w:name w:val="heading 3"/>
    <w:basedOn w:val="Normal"/>
    <w:next w:val="Normal"/>
    <w:link w:val="Heading3Char"/>
    <w:semiHidden/>
    <w:unhideWhenUsed/>
    <w:qFormat/>
    <w:rsid w:val="007F3D3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F74"/>
    <w:rPr>
      <w:rFonts w:ascii="Tahoma" w:hAnsi="Tahoma" w:cs="Tahoma"/>
      <w:sz w:val="16"/>
      <w:szCs w:val="16"/>
    </w:rPr>
  </w:style>
  <w:style w:type="character" w:customStyle="1" w:styleId="BalloonTextChar">
    <w:name w:val="Balloon Text Char"/>
    <w:basedOn w:val="DefaultParagraphFont"/>
    <w:link w:val="BalloonText"/>
    <w:semiHidden/>
    <w:rsid w:val="009516F1"/>
    <w:rPr>
      <w:rFonts w:ascii="Tahoma" w:hAnsi="Tahoma" w:cs="Tahoma"/>
      <w:color w:val="000000"/>
      <w:sz w:val="16"/>
      <w:szCs w:val="16"/>
    </w:r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090F74"/>
    <w:pPr>
      <w:numPr>
        <w:numId w:val="4"/>
      </w:numPr>
      <w:tabs>
        <w:tab w:val="left" w:pos="426"/>
      </w:tabs>
    </w:p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rsid w:val="00090F74"/>
    <w:rPr>
      <w:rFonts w:ascii="Arial" w:hAnsi="Arial"/>
      <w:color w:val="000000"/>
      <w:sz w:val="24"/>
      <w:szCs w:val="24"/>
    </w:rPr>
  </w:style>
  <w:style w:type="paragraph" w:customStyle="1" w:styleId="bParagraphtext">
    <w:name w:val="bParagraph text"/>
    <w:basedOn w:val="ListParagraph"/>
    <w:link w:val="bParagraphtextChar"/>
    <w:qFormat/>
    <w:rsid w:val="00B14E2C"/>
    <w:pPr>
      <w:numPr>
        <w:numId w:val="14"/>
      </w:numPr>
    </w:pPr>
  </w:style>
  <w:style w:type="character" w:customStyle="1" w:styleId="bParagraphtextChar">
    <w:name w:val="bParagraph text Char"/>
    <w:link w:val="bParagraphtext"/>
    <w:rsid w:val="00B14E2C"/>
    <w:rPr>
      <w:rFonts w:ascii="Arial" w:hAnsi="Arial"/>
      <w:color w:val="000000"/>
      <w:sz w:val="24"/>
      <w:szCs w:val="24"/>
    </w:rPr>
  </w:style>
  <w:style w:type="paragraph" w:customStyle="1" w:styleId="Bulletpoints">
    <w:name w:val="Bullet points"/>
    <w:basedOn w:val="Normal"/>
    <w:link w:val="BulletpointsChar"/>
    <w:qFormat/>
    <w:rsid w:val="00280C4A"/>
    <w:pPr>
      <w:numPr>
        <w:numId w:val="1"/>
      </w:numPr>
      <w:tabs>
        <w:tab w:val="left" w:pos="1134"/>
      </w:tabs>
      <w:ind w:left="1134" w:hanging="425"/>
    </w:pPr>
  </w:style>
  <w:style w:type="character" w:customStyle="1" w:styleId="BulletpointsChar">
    <w:name w:val="Bullet points Char"/>
    <w:link w:val="Bulletpoints"/>
    <w:rsid w:val="00280C4A"/>
    <w:rPr>
      <w:rFonts w:ascii="Arial" w:hAnsi="Arial"/>
      <w:color w:val="000000"/>
      <w:sz w:val="24"/>
      <w:szCs w:val="24"/>
    </w:rPr>
  </w:style>
  <w:style w:type="paragraph" w:styleId="Caption">
    <w:name w:val="caption"/>
    <w:basedOn w:val="Normal"/>
    <w:next w:val="Normal"/>
    <w:unhideWhenUsed/>
    <w:qFormat/>
    <w:rsid w:val="00090F74"/>
    <w:pPr>
      <w:spacing w:before="120"/>
      <w:jc w:val="center"/>
    </w:pPr>
    <w:rPr>
      <w:b/>
      <w:bCs/>
      <w:sz w:val="20"/>
      <w:szCs w:val="20"/>
    </w:rPr>
  </w:style>
  <w:style w:type="character" w:styleId="CommentReference">
    <w:name w:val="annotation reference"/>
    <w:semiHidden/>
    <w:rsid w:val="00090F74"/>
    <w:rPr>
      <w:sz w:val="16"/>
      <w:szCs w:val="16"/>
    </w:rPr>
  </w:style>
  <w:style w:type="paragraph" w:styleId="CommentText">
    <w:name w:val="annotation text"/>
    <w:basedOn w:val="Normal"/>
    <w:link w:val="CommentTextChar"/>
    <w:semiHidden/>
    <w:rsid w:val="00090F74"/>
    <w:rPr>
      <w:sz w:val="20"/>
      <w:szCs w:val="20"/>
    </w:rPr>
  </w:style>
  <w:style w:type="character" w:customStyle="1" w:styleId="CommentTextChar">
    <w:name w:val="Comment Text Char"/>
    <w:basedOn w:val="DefaultParagraphFont"/>
    <w:link w:val="CommentText"/>
    <w:semiHidden/>
    <w:rsid w:val="009516F1"/>
    <w:rPr>
      <w:rFonts w:ascii="Arial" w:hAnsi="Arial"/>
      <w:color w:val="000000"/>
    </w:rPr>
  </w:style>
  <w:style w:type="paragraph" w:styleId="CommentSubject">
    <w:name w:val="annotation subject"/>
    <w:basedOn w:val="CommentText"/>
    <w:next w:val="CommentText"/>
    <w:link w:val="CommentSubjectChar"/>
    <w:semiHidden/>
    <w:rsid w:val="00090F74"/>
    <w:rPr>
      <w:b/>
      <w:bCs/>
    </w:rPr>
  </w:style>
  <w:style w:type="character" w:customStyle="1" w:styleId="CommentSubjectChar">
    <w:name w:val="Comment Subject Char"/>
    <w:basedOn w:val="CommentTextChar"/>
    <w:link w:val="CommentSubject"/>
    <w:semiHidden/>
    <w:rsid w:val="009516F1"/>
    <w:rPr>
      <w:rFonts w:ascii="Arial" w:hAnsi="Arial"/>
      <w:b/>
      <w:bCs/>
      <w:color w:val="000000"/>
    </w:rPr>
  </w:style>
  <w:style w:type="character" w:customStyle="1" w:styleId="Firstpagetablebold">
    <w:name w:val="First page table: bold"/>
    <w:qFormat/>
    <w:rsid w:val="00090F74"/>
    <w:rPr>
      <w:rFonts w:ascii="Arial" w:hAnsi="Arial"/>
      <w:b/>
      <w:sz w:val="24"/>
    </w:rPr>
  </w:style>
  <w:style w:type="paragraph" w:styleId="Footer">
    <w:name w:val="footer"/>
    <w:aliases w:val="zzFooter"/>
    <w:basedOn w:val="Normal"/>
    <w:link w:val="FooterChar"/>
    <w:uiPriority w:val="99"/>
    <w:rsid w:val="00090F74"/>
    <w:pPr>
      <w:tabs>
        <w:tab w:val="center" w:pos="4153"/>
        <w:tab w:val="right" w:pos="8306"/>
      </w:tabs>
    </w:pPr>
    <w:rPr>
      <w:sz w:val="18"/>
    </w:rPr>
  </w:style>
  <w:style w:type="character" w:customStyle="1" w:styleId="FooterChar">
    <w:name w:val="Footer Char"/>
    <w:aliases w:val="zzFooter Char"/>
    <w:basedOn w:val="DefaultParagraphFont"/>
    <w:link w:val="Footer"/>
    <w:uiPriority w:val="99"/>
    <w:rsid w:val="009516F1"/>
    <w:rPr>
      <w:rFonts w:ascii="Arial" w:hAnsi="Arial"/>
      <w:color w:val="000000"/>
      <w:sz w:val="18"/>
      <w:szCs w:val="24"/>
    </w:rPr>
  </w:style>
  <w:style w:type="paragraph" w:styleId="Header">
    <w:name w:val="header"/>
    <w:basedOn w:val="Normal"/>
    <w:link w:val="HeaderChar"/>
    <w:uiPriority w:val="99"/>
    <w:rsid w:val="00090F74"/>
    <w:pPr>
      <w:tabs>
        <w:tab w:val="center" w:pos="4153"/>
        <w:tab w:val="right" w:pos="8306"/>
      </w:tabs>
    </w:pPr>
    <w:rPr>
      <w:sz w:val="18"/>
    </w:rPr>
  </w:style>
  <w:style w:type="character" w:customStyle="1" w:styleId="HeaderChar">
    <w:name w:val="Header Char"/>
    <w:link w:val="Header"/>
    <w:uiPriority w:val="99"/>
    <w:rsid w:val="00090F74"/>
    <w:rPr>
      <w:rFonts w:ascii="Arial" w:hAnsi="Arial"/>
      <w:color w:val="000000"/>
      <w:sz w:val="18"/>
      <w:szCs w:val="24"/>
    </w:rPr>
  </w:style>
  <w:style w:type="character" w:customStyle="1" w:styleId="Heading1Char">
    <w:name w:val="Heading 1 Char"/>
    <w:aliases w:val="aHeading Char"/>
    <w:link w:val="Heading1"/>
    <w:rsid w:val="00090F74"/>
    <w:rPr>
      <w:rFonts w:ascii="Arial" w:hAnsi="Arial"/>
      <w:b/>
      <w:color w:val="000000"/>
      <w:sz w:val="24"/>
      <w:szCs w:val="24"/>
    </w:rPr>
  </w:style>
  <w:style w:type="character" w:styleId="Hyperlink">
    <w:name w:val="Hyperlink"/>
    <w:aliases w:val="set Hyperlink"/>
    <w:qFormat/>
    <w:rsid w:val="00090F74"/>
    <w:rPr>
      <w:rFonts w:ascii="Arial" w:hAnsi="Arial"/>
      <w:color w:val="0000FF"/>
      <w:sz w:val="24"/>
      <w:u w:val="single"/>
    </w:rPr>
  </w:style>
  <w:style w:type="table" w:styleId="LightList-Accent2">
    <w:name w:val="Light List Accent 2"/>
    <w:basedOn w:val="TableNormal"/>
    <w:uiPriority w:val="61"/>
    <w:rsid w:val="00090F74"/>
    <w:rPr>
      <w:rFonts w:ascii="Arial" w:eastAsia="Calibri" w:hAnsi="Arial"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90F74"/>
    <w:rPr>
      <w:rFonts w:ascii="Arial" w:eastAsia="Calibri" w:hAnsi="Arial"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rsid w:val="00090F74"/>
    <w:pPr>
      <w:spacing w:after="120"/>
    </w:pPr>
    <w:rPr>
      <w:rFonts w:ascii="Arial" w:hAnsi="Arial"/>
      <w:color w:val="000000"/>
      <w:sz w:val="24"/>
      <w:szCs w:val="24"/>
      <w:lang w:eastAsia="en-US"/>
    </w:rPr>
  </w:style>
  <w:style w:type="paragraph" w:styleId="NormalWeb">
    <w:name w:val="Normal (Web)"/>
    <w:basedOn w:val="Normal"/>
    <w:rsid w:val="00090F74"/>
    <w:pPr>
      <w:spacing w:before="100" w:beforeAutospacing="1" w:after="100" w:afterAutospacing="1"/>
    </w:pPr>
    <w:rPr>
      <w:rFonts w:ascii="Arial Unicode MS" w:eastAsia="Arial Unicode MS" w:hAnsi="Arial Unicode MS" w:cs="Arial Unicode MS"/>
    </w:rPr>
  </w:style>
  <w:style w:type="paragraph" w:customStyle="1" w:styleId="Numberedlist">
    <w:name w:val="Numbered list"/>
    <w:basedOn w:val="Bulletpoints"/>
    <w:link w:val="NumberedlistChar"/>
    <w:qFormat/>
    <w:rsid w:val="00090F74"/>
    <w:pPr>
      <w:numPr>
        <w:numId w:val="2"/>
      </w:numPr>
    </w:pPr>
  </w:style>
  <w:style w:type="character" w:customStyle="1" w:styleId="NumberedlistChar">
    <w:name w:val="Numbered list Char"/>
    <w:link w:val="Numberedlist"/>
    <w:rsid w:val="00090F74"/>
    <w:rPr>
      <w:rFonts w:ascii="Arial" w:hAnsi="Arial"/>
      <w:color w:val="000000"/>
      <w:sz w:val="24"/>
      <w:szCs w:val="24"/>
    </w:rPr>
  </w:style>
  <w:style w:type="character" w:styleId="PageNumber">
    <w:name w:val="page number"/>
    <w:rsid w:val="00090F74"/>
    <w:rPr>
      <w:rFonts w:ascii="Arial" w:hAnsi="Arial"/>
      <w:sz w:val="18"/>
    </w:rPr>
  </w:style>
  <w:style w:type="paragraph" w:styleId="Quote">
    <w:name w:val="Quote"/>
    <w:basedOn w:val="Normal"/>
    <w:next w:val="Normal"/>
    <w:link w:val="QuoteChar"/>
    <w:uiPriority w:val="29"/>
    <w:rsid w:val="00090F74"/>
    <w:rPr>
      <w:i/>
      <w:iCs/>
    </w:rPr>
  </w:style>
  <w:style w:type="character" w:customStyle="1" w:styleId="QuoteChar">
    <w:name w:val="Quote Char"/>
    <w:link w:val="Quote"/>
    <w:uiPriority w:val="29"/>
    <w:rsid w:val="00090F74"/>
    <w:rPr>
      <w:rFonts w:ascii="Arial" w:hAnsi="Arial"/>
      <w:i/>
      <w:iCs/>
      <w:color w:val="000000"/>
      <w:sz w:val="24"/>
      <w:szCs w:val="24"/>
    </w:rPr>
  </w:style>
  <w:style w:type="numbering" w:customStyle="1" w:styleId="StyleBulletedSymbolsymbolLeft063cmHanging063cm">
    <w:name w:val="Style Bulleted Symbol (symbol) Left:  0.63 cm Hanging:  0.63 cm"/>
    <w:basedOn w:val="NoList"/>
    <w:rsid w:val="00090F74"/>
    <w:pPr>
      <w:numPr>
        <w:numId w:val="3"/>
      </w:numPr>
    </w:pPr>
  </w:style>
  <w:style w:type="numbering" w:customStyle="1" w:styleId="StyleNumberedLeft0cmHanging075cm">
    <w:name w:val="Style Numbered Left:  0 cm Hanging:  0.75 cm"/>
    <w:basedOn w:val="NoList"/>
    <w:rsid w:val="00090F74"/>
    <w:pPr>
      <w:numPr>
        <w:numId w:val="4"/>
      </w:numPr>
    </w:pPr>
  </w:style>
  <w:style w:type="paragraph" w:customStyle="1" w:styleId="Tableandfigurecaption">
    <w:name w:val="Table and figure caption"/>
    <w:basedOn w:val="Heading2"/>
    <w:rsid w:val="00090F74"/>
    <w:pPr>
      <w:ind w:left="360"/>
    </w:pPr>
    <w:rPr>
      <w:bCs/>
      <w:szCs w:val="20"/>
    </w:rPr>
  </w:style>
  <w:style w:type="table" w:styleId="TableGrid">
    <w:name w:val="Table Grid"/>
    <w:basedOn w:val="TableNormal"/>
    <w:uiPriority w:val="59"/>
    <w:rsid w:val="00090F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090F74"/>
    <w:pPr>
      <w:spacing w:before="120"/>
    </w:pPr>
    <w:rPr>
      <w:rFonts w:ascii="Cambria" w:hAnsi="Cambria"/>
      <w:b/>
      <w:bCs/>
    </w:rPr>
  </w:style>
  <w:style w:type="character" w:styleId="EndnoteReference">
    <w:name w:val="endnote reference"/>
    <w:basedOn w:val="DefaultParagraphFont"/>
    <w:semiHidden/>
    <w:unhideWhenUsed/>
    <w:rsid w:val="00090F74"/>
    <w:rPr>
      <w:vertAlign w:val="superscript"/>
    </w:rPr>
  </w:style>
  <w:style w:type="paragraph" w:styleId="EndnoteText">
    <w:name w:val="endnote text"/>
    <w:basedOn w:val="Normal"/>
    <w:link w:val="EndnoteTextChar"/>
    <w:semiHidden/>
    <w:unhideWhenUsed/>
    <w:rsid w:val="00090F74"/>
    <w:pPr>
      <w:spacing w:after="0"/>
    </w:pPr>
    <w:rPr>
      <w:sz w:val="20"/>
      <w:szCs w:val="20"/>
    </w:rPr>
  </w:style>
  <w:style w:type="character" w:customStyle="1" w:styleId="Heading3Char">
    <w:name w:val="Heading 3 Char"/>
    <w:basedOn w:val="DefaultParagraphFont"/>
    <w:link w:val="Heading3"/>
    <w:semiHidden/>
    <w:rsid w:val="007F3D3C"/>
    <w:rPr>
      <w:rFonts w:asciiTheme="majorHAnsi" w:eastAsiaTheme="majorEastAsia" w:hAnsiTheme="majorHAnsi" w:cstheme="majorBidi"/>
      <w:color w:val="1F4D78" w:themeColor="accent1" w:themeShade="7F"/>
      <w:sz w:val="24"/>
      <w:szCs w:val="24"/>
      <w:lang w:eastAsia="en-US"/>
    </w:rPr>
  </w:style>
  <w:style w:type="character" w:customStyle="1" w:styleId="EndnoteTextChar">
    <w:name w:val="Endnote Text Char"/>
    <w:basedOn w:val="DefaultParagraphFont"/>
    <w:link w:val="EndnoteText"/>
    <w:semiHidden/>
    <w:rsid w:val="00090F74"/>
    <w:rPr>
      <w:rFonts w:ascii="Arial" w:hAnsi="Arial"/>
      <w:color w:val="000000"/>
    </w:rPr>
  </w:style>
  <w:style w:type="character" w:styleId="FootnoteReference">
    <w:name w:val="footnote reference"/>
    <w:basedOn w:val="DefaultParagraphFont"/>
    <w:rsid w:val="00090F74"/>
    <w:rPr>
      <w:vertAlign w:val="superscript"/>
    </w:rPr>
  </w:style>
  <w:style w:type="paragraph" w:styleId="FootnoteText">
    <w:name w:val="footnote text"/>
    <w:basedOn w:val="Normal"/>
    <w:link w:val="FootnoteTextChar"/>
    <w:rsid w:val="00090F74"/>
    <w:pPr>
      <w:spacing w:after="0"/>
    </w:pPr>
    <w:rPr>
      <w:color w:val="auto"/>
      <w:sz w:val="20"/>
      <w:szCs w:val="20"/>
      <w:lang w:eastAsia="en-US"/>
    </w:rPr>
  </w:style>
  <w:style w:type="character" w:customStyle="1" w:styleId="FootnoteTextChar">
    <w:name w:val="Footnote Text Char"/>
    <w:basedOn w:val="DefaultParagraphFont"/>
    <w:link w:val="FootnoteText"/>
    <w:rsid w:val="00090F74"/>
    <w:rPr>
      <w:rFonts w:ascii="Arial" w:hAnsi="Arial"/>
      <w:lang w:eastAsia="en-US"/>
    </w:rPr>
  </w:style>
  <w:style w:type="character" w:styleId="Emphasis">
    <w:name w:val="Emphasis"/>
    <w:basedOn w:val="DefaultParagraphFont"/>
    <w:qFormat/>
    <w:rsid w:val="00221EF2"/>
    <w:rPr>
      <w:i/>
      <w:iCs/>
    </w:rPr>
  </w:style>
  <w:style w:type="paragraph" w:customStyle="1" w:styleId="Style4">
    <w:name w:val="Style4"/>
    <w:basedOn w:val="Normal"/>
    <w:link w:val="Style4Char"/>
    <w:qFormat/>
    <w:rsid w:val="00C25218"/>
    <w:pPr>
      <w:spacing w:before="120" w:after="240" w:line="300" w:lineRule="exact"/>
      <w:ind w:left="1559" w:hanging="425"/>
      <w:jc w:val="both"/>
    </w:pPr>
    <w:rPr>
      <w:color w:val="323232"/>
      <w:sz w:val="22"/>
      <w:szCs w:val="28"/>
      <w:lang w:eastAsia="en-US"/>
    </w:rPr>
  </w:style>
  <w:style w:type="character" w:customStyle="1" w:styleId="Style4Char">
    <w:name w:val="Style4 Char"/>
    <w:basedOn w:val="DefaultParagraphFont"/>
    <w:link w:val="Style4"/>
    <w:rsid w:val="00C25218"/>
    <w:rPr>
      <w:rFonts w:ascii="Arial" w:hAnsi="Arial"/>
      <w:color w:val="323232"/>
      <w:sz w:val="22"/>
      <w:szCs w:val="28"/>
      <w:lang w:eastAsia="en-US"/>
    </w:rPr>
  </w:style>
  <w:style w:type="paragraph" w:customStyle="1" w:styleId="Default">
    <w:name w:val="Default"/>
    <w:rsid w:val="00417531"/>
    <w:pPr>
      <w:autoSpaceDE w:val="0"/>
      <w:autoSpaceDN w:val="0"/>
      <w:adjustRightInd w:val="0"/>
    </w:pPr>
    <w:rPr>
      <w:rFonts w:ascii="Humnst777 Lt BT" w:hAnsi="Humnst777 Lt BT" w:cs="Humnst777 Lt BT"/>
      <w:color w:val="000000"/>
      <w:sz w:val="24"/>
      <w:szCs w:val="24"/>
    </w:rPr>
  </w:style>
  <w:style w:type="paragraph" w:customStyle="1" w:styleId="Style2">
    <w:name w:val="Style2"/>
    <w:basedOn w:val="Heading3"/>
    <w:link w:val="Style2Char"/>
    <w:qFormat/>
    <w:rsid w:val="0058259E"/>
    <w:pPr>
      <w:keepLines w:val="0"/>
      <w:spacing w:before="200" w:after="0" w:line="300" w:lineRule="exact"/>
      <w:ind w:left="66" w:firstLine="1134"/>
    </w:pPr>
    <w:rPr>
      <w:rFonts w:ascii="Arial Bold" w:eastAsia="Times New Roman" w:hAnsi="Arial" w:cs="Times New Roman"/>
      <w:b/>
      <w:i/>
      <w:color w:val="00B0F0"/>
      <w:sz w:val="22"/>
      <w:szCs w:val="26"/>
      <w:lang w:val="x-none" w:eastAsia="en-US"/>
    </w:rPr>
  </w:style>
  <w:style w:type="character" w:customStyle="1" w:styleId="Style2Char">
    <w:name w:val="Style2 Char"/>
    <w:link w:val="Style2"/>
    <w:rsid w:val="0058259E"/>
    <w:rPr>
      <w:rFonts w:ascii="Arial Bold" w:hAnsi="Arial"/>
      <w:b/>
      <w:i/>
      <w:color w:val="00B0F0"/>
      <w:sz w:val="22"/>
      <w:szCs w:val="26"/>
      <w:lang w:val="x-none" w:eastAsia="en-US"/>
    </w:rPr>
  </w:style>
  <w:style w:type="table" w:customStyle="1" w:styleId="TableGrid1">
    <w:name w:val="Table Grid1"/>
    <w:basedOn w:val="TableNormal"/>
    <w:next w:val="TableGrid"/>
    <w:uiPriority w:val="59"/>
    <w:rsid w:val="00CF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726">
      <w:bodyDiv w:val="1"/>
      <w:marLeft w:val="0"/>
      <w:marRight w:val="0"/>
      <w:marTop w:val="0"/>
      <w:marBottom w:val="0"/>
      <w:divBdr>
        <w:top w:val="none" w:sz="0" w:space="0" w:color="auto"/>
        <w:left w:val="none" w:sz="0" w:space="0" w:color="auto"/>
        <w:bottom w:val="none" w:sz="0" w:space="0" w:color="auto"/>
        <w:right w:val="none" w:sz="0" w:space="0" w:color="auto"/>
      </w:divBdr>
    </w:div>
    <w:div w:id="97141111">
      <w:bodyDiv w:val="1"/>
      <w:marLeft w:val="0"/>
      <w:marRight w:val="0"/>
      <w:marTop w:val="0"/>
      <w:marBottom w:val="0"/>
      <w:divBdr>
        <w:top w:val="none" w:sz="0" w:space="0" w:color="auto"/>
        <w:left w:val="none" w:sz="0" w:space="0" w:color="auto"/>
        <w:bottom w:val="none" w:sz="0" w:space="0" w:color="auto"/>
        <w:right w:val="none" w:sz="0" w:space="0" w:color="auto"/>
      </w:divBdr>
    </w:div>
    <w:div w:id="198512827">
      <w:bodyDiv w:val="1"/>
      <w:marLeft w:val="0"/>
      <w:marRight w:val="0"/>
      <w:marTop w:val="0"/>
      <w:marBottom w:val="0"/>
      <w:divBdr>
        <w:top w:val="none" w:sz="0" w:space="0" w:color="auto"/>
        <w:left w:val="none" w:sz="0" w:space="0" w:color="auto"/>
        <w:bottom w:val="none" w:sz="0" w:space="0" w:color="auto"/>
        <w:right w:val="none" w:sz="0" w:space="0" w:color="auto"/>
      </w:divBdr>
    </w:div>
    <w:div w:id="258683702">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294218446">
      <w:bodyDiv w:val="1"/>
      <w:marLeft w:val="0"/>
      <w:marRight w:val="0"/>
      <w:marTop w:val="0"/>
      <w:marBottom w:val="0"/>
      <w:divBdr>
        <w:top w:val="none" w:sz="0" w:space="0" w:color="auto"/>
        <w:left w:val="none" w:sz="0" w:space="0" w:color="auto"/>
        <w:bottom w:val="none" w:sz="0" w:space="0" w:color="auto"/>
        <w:right w:val="none" w:sz="0" w:space="0" w:color="auto"/>
      </w:divBdr>
    </w:div>
    <w:div w:id="309677411">
      <w:bodyDiv w:val="1"/>
      <w:marLeft w:val="0"/>
      <w:marRight w:val="0"/>
      <w:marTop w:val="0"/>
      <w:marBottom w:val="0"/>
      <w:divBdr>
        <w:top w:val="none" w:sz="0" w:space="0" w:color="auto"/>
        <w:left w:val="none" w:sz="0" w:space="0" w:color="auto"/>
        <w:bottom w:val="none" w:sz="0" w:space="0" w:color="auto"/>
        <w:right w:val="none" w:sz="0" w:space="0" w:color="auto"/>
      </w:divBdr>
    </w:div>
    <w:div w:id="316306696">
      <w:bodyDiv w:val="1"/>
      <w:marLeft w:val="0"/>
      <w:marRight w:val="0"/>
      <w:marTop w:val="0"/>
      <w:marBottom w:val="0"/>
      <w:divBdr>
        <w:top w:val="none" w:sz="0" w:space="0" w:color="auto"/>
        <w:left w:val="none" w:sz="0" w:space="0" w:color="auto"/>
        <w:bottom w:val="none" w:sz="0" w:space="0" w:color="auto"/>
        <w:right w:val="none" w:sz="0" w:space="0" w:color="auto"/>
      </w:divBdr>
    </w:div>
    <w:div w:id="347873898">
      <w:bodyDiv w:val="1"/>
      <w:marLeft w:val="0"/>
      <w:marRight w:val="0"/>
      <w:marTop w:val="0"/>
      <w:marBottom w:val="0"/>
      <w:divBdr>
        <w:top w:val="none" w:sz="0" w:space="0" w:color="auto"/>
        <w:left w:val="none" w:sz="0" w:space="0" w:color="auto"/>
        <w:bottom w:val="none" w:sz="0" w:space="0" w:color="auto"/>
        <w:right w:val="none" w:sz="0" w:space="0" w:color="auto"/>
      </w:divBdr>
    </w:div>
    <w:div w:id="356082529">
      <w:bodyDiv w:val="1"/>
      <w:marLeft w:val="0"/>
      <w:marRight w:val="0"/>
      <w:marTop w:val="0"/>
      <w:marBottom w:val="0"/>
      <w:divBdr>
        <w:top w:val="none" w:sz="0" w:space="0" w:color="auto"/>
        <w:left w:val="none" w:sz="0" w:space="0" w:color="auto"/>
        <w:bottom w:val="none" w:sz="0" w:space="0" w:color="auto"/>
        <w:right w:val="none" w:sz="0" w:space="0" w:color="auto"/>
      </w:divBdr>
    </w:div>
    <w:div w:id="415058409">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50173440">
      <w:bodyDiv w:val="1"/>
      <w:marLeft w:val="0"/>
      <w:marRight w:val="0"/>
      <w:marTop w:val="0"/>
      <w:marBottom w:val="0"/>
      <w:divBdr>
        <w:top w:val="none" w:sz="0" w:space="0" w:color="auto"/>
        <w:left w:val="none" w:sz="0" w:space="0" w:color="auto"/>
        <w:bottom w:val="none" w:sz="0" w:space="0" w:color="auto"/>
        <w:right w:val="none" w:sz="0" w:space="0" w:color="auto"/>
      </w:divBdr>
    </w:div>
    <w:div w:id="452138481">
      <w:bodyDiv w:val="1"/>
      <w:marLeft w:val="0"/>
      <w:marRight w:val="0"/>
      <w:marTop w:val="0"/>
      <w:marBottom w:val="0"/>
      <w:divBdr>
        <w:top w:val="none" w:sz="0" w:space="0" w:color="auto"/>
        <w:left w:val="none" w:sz="0" w:space="0" w:color="auto"/>
        <w:bottom w:val="none" w:sz="0" w:space="0" w:color="auto"/>
        <w:right w:val="none" w:sz="0" w:space="0" w:color="auto"/>
      </w:divBdr>
    </w:div>
    <w:div w:id="559831835">
      <w:bodyDiv w:val="1"/>
      <w:marLeft w:val="0"/>
      <w:marRight w:val="0"/>
      <w:marTop w:val="0"/>
      <w:marBottom w:val="0"/>
      <w:divBdr>
        <w:top w:val="none" w:sz="0" w:space="0" w:color="auto"/>
        <w:left w:val="none" w:sz="0" w:space="0" w:color="auto"/>
        <w:bottom w:val="none" w:sz="0" w:space="0" w:color="auto"/>
        <w:right w:val="none" w:sz="0" w:space="0" w:color="auto"/>
      </w:divBdr>
    </w:div>
    <w:div w:id="629626131">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690642938">
      <w:bodyDiv w:val="1"/>
      <w:marLeft w:val="0"/>
      <w:marRight w:val="0"/>
      <w:marTop w:val="0"/>
      <w:marBottom w:val="0"/>
      <w:divBdr>
        <w:top w:val="none" w:sz="0" w:space="0" w:color="auto"/>
        <w:left w:val="none" w:sz="0" w:space="0" w:color="auto"/>
        <w:bottom w:val="none" w:sz="0" w:space="0" w:color="auto"/>
        <w:right w:val="none" w:sz="0" w:space="0" w:color="auto"/>
      </w:divBdr>
    </w:div>
    <w:div w:id="745686805">
      <w:bodyDiv w:val="1"/>
      <w:marLeft w:val="0"/>
      <w:marRight w:val="0"/>
      <w:marTop w:val="0"/>
      <w:marBottom w:val="0"/>
      <w:divBdr>
        <w:top w:val="none" w:sz="0" w:space="0" w:color="auto"/>
        <w:left w:val="none" w:sz="0" w:space="0" w:color="auto"/>
        <w:bottom w:val="none" w:sz="0" w:space="0" w:color="auto"/>
        <w:right w:val="none" w:sz="0" w:space="0" w:color="auto"/>
      </w:divBdr>
    </w:div>
    <w:div w:id="823160809">
      <w:bodyDiv w:val="1"/>
      <w:marLeft w:val="0"/>
      <w:marRight w:val="0"/>
      <w:marTop w:val="0"/>
      <w:marBottom w:val="0"/>
      <w:divBdr>
        <w:top w:val="none" w:sz="0" w:space="0" w:color="auto"/>
        <w:left w:val="none" w:sz="0" w:space="0" w:color="auto"/>
        <w:bottom w:val="none" w:sz="0" w:space="0" w:color="auto"/>
        <w:right w:val="none" w:sz="0" w:space="0" w:color="auto"/>
      </w:divBdr>
    </w:div>
    <w:div w:id="839345185">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57810156">
      <w:bodyDiv w:val="1"/>
      <w:marLeft w:val="0"/>
      <w:marRight w:val="0"/>
      <w:marTop w:val="0"/>
      <w:marBottom w:val="0"/>
      <w:divBdr>
        <w:top w:val="none" w:sz="0" w:space="0" w:color="auto"/>
        <w:left w:val="none" w:sz="0" w:space="0" w:color="auto"/>
        <w:bottom w:val="none" w:sz="0" w:space="0" w:color="auto"/>
        <w:right w:val="none" w:sz="0" w:space="0" w:color="auto"/>
      </w:divBdr>
    </w:div>
    <w:div w:id="862354791">
      <w:bodyDiv w:val="1"/>
      <w:marLeft w:val="0"/>
      <w:marRight w:val="0"/>
      <w:marTop w:val="0"/>
      <w:marBottom w:val="0"/>
      <w:divBdr>
        <w:top w:val="none" w:sz="0" w:space="0" w:color="auto"/>
        <w:left w:val="none" w:sz="0" w:space="0" w:color="auto"/>
        <w:bottom w:val="none" w:sz="0" w:space="0" w:color="auto"/>
        <w:right w:val="none" w:sz="0" w:space="0" w:color="auto"/>
      </w:divBdr>
    </w:div>
    <w:div w:id="896207293">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981542119">
      <w:bodyDiv w:val="1"/>
      <w:marLeft w:val="0"/>
      <w:marRight w:val="0"/>
      <w:marTop w:val="0"/>
      <w:marBottom w:val="0"/>
      <w:divBdr>
        <w:top w:val="none" w:sz="0" w:space="0" w:color="auto"/>
        <w:left w:val="none" w:sz="0" w:space="0" w:color="auto"/>
        <w:bottom w:val="none" w:sz="0" w:space="0" w:color="auto"/>
        <w:right w:val="none" w:sz="0" w:space="0" w:color="auto"/>
      </w:divBdr>
    </w:div>
    <w:div w:id="995374107">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12088516">
      <w:bodyDiv w:val="1"/>
      <w:marLeft w:val="0"/>
      <w:marRight w:val="0"/>
      <w:marTop w:val="0"/>
      <w:marBottom w:val="0"/>
      <w:divBdr>
        <w:top w:val="none" w:sz="0" w:space="0" w:color="auto"/>
        <w:left w:val="none" w:sz="0" w:space="0" w:color="auto"/>
        <w:bottom w:val="none" w:sz="0" w:space="0" w:color="auto"/>
        <w:right w:val="none" w:sz="0" w:space="0" w:color="auto"/>
      </w:divBdr>
    </w:div>
    <w:div w:id="1115247613">
      <w:bodyDiv w:val="1"/>
      <w:marLeft w:val="0"/>
      <w:marRight w:val="0"/>
      <w:marTop w:val="0"/>
      <w:marBottom w:val="0"/>
      <w:divBdr>
        <w:top w:val="none" w:sz="0" w:space="0" w:color="auto"/>
        <w:left w:val="none" w:sz="0" w:space="0" w:color="auto"/>
        <w:bottom w:val="none" w:sz="0" w:space="0" w:color="auto"/>
        <w:right w:val="none" w:sz="0" w:space="0" w:color="auto"/>
      </w:divBdr>
    </w:div>
    <w:div w:id="1201090914">
      <w:bodyDiv w:val="1"/>
      <w:marLeft w:val="0"/>
      <w:marRight w:val="0"/>
      <w:marTop w:val="0"/>
      <w:marBottom w:val="0"/>
      <w:divBdr>
        <w:top w:val="none" w:sz="0" w:space="0" w:color="auto"/>
        <w:left w:val="none" w:sz="0" w:space="0" w:color="auto"/>
        <w:bottom w:val="none" w:sz="0" w:space="0" w:color="auto"/>
        <w:right w:val="none" w:sz="0" w:space="0" w:color="auto"/>
      </w:divBdr>
    </w:div>
    <w:div w:id="1229270913">
      <w:bodyDiv w:val="1"/>
      <w:marLeft w:val="0"/>
      <w:marRight w:val="0"/>
      <w:marTop w:val="0"/>
      <w:marBottom w:val="0"/>
      <w:divBdr>
        <w:top w:val="none" w:sz="0" w:space="0" w:color="auto"/>
        <w:left w:val="none" w:sz="0" w:space="0" w:color="auto"/>
        <w:bottom w:val="none" w:sz="0" w:space="0" w:color="auto"/>
        <w:right w:val="none" w:sz="0" w:space="0" w:color="auto"/>
      </w:divBdr>
    </w:div>
    <w:div w:id="1230657264">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67428183">
      <w:bodyDiv w:val="1"/>
      <w:marLeft w:val="0"/>
      <w:marRight w:val="0"/>
      <w:marTop w:val="0"/>
      <w:marBottom w:val="0"/>
      <w:divBdr>
        <w:top w:val="none" w:sz="0" w:space="0" w:color="auto"/>
        <w:left w:val="none" w:sz="0" w:space="0" w:color="auto"/>
        <w:bottom w:val="none" w:sz="0" w:space="0" w:color="auto"/>
        <w:right w:val="none" w:sz="0" w:space="0" w:color="auto"/>
      </w:divBdr>
    </w:div>
    <w:div w:id="129456000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97244872">
      <w:bodyDiv w:val="1"/>
      <w:marLeft w:val="0"/>
      <w:marRight w:val="0"/>
      <w:marTop w:val="0"/>
      <w:marBottom w:val="0"/>
      <w:divBdr>
        <w:top w:val="none" w:sz="0" w:space="0" w:color="auto"/>
        <w:left w:val="none" w:sz="0" w:space="0" w:color="auto"/>
        <w:bottom w:val="none" w:sz="0" w:space="0" w:color="auto"/>
        <w:right w:val="none" w:sz="0" w:space="0" w:color="auto"/>
      </w:divBdr>
    </w:div>
    <w:div w:id="1405297455">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21486113">
      <w:bodyDiv w:val="1"/>
      <w:marLeft w:val="0"/>
      <w:marRight w:val="0"/>
      <w:marTop w:val="0"/>
      <w:marBottom w:val="0"/>
      <w:divBdr>
        <w:top w:val="none" w:sz="0" w:space="0" w:color="auto"/>
        <w:left w:val="none" w:sz="0" w:space="0" w:color="auto"/>
        <w:bottom w:val="none" w:sz="0" w:space="0" w:color="auto"/>
        <w:right w:val="none" w:sz="0" w:space="0" w:color="auto"/>
      </w:divBdr>
    </w:div>
    <w:div w:id="1481531614">
      <w:bodyDiv w:val="1"/>
      <w:marLeft w:val="0"/>
      <w:marRight w:val="0"/>
      <w:marTop w:val="0"/>
      <w:marBottom w:val="0"/>
      <w:divBdr>
        <w:top w:val="none" w:sz="0" w:space="0" w:color="auto"/>
        <w:left w:val="none" w:sz="0" w:space="0" w:color="auto"/>
        <w:bottom w:val="none" w:sz="0" w:space="0" w:color="auto"/>
        <w:right w:val="none" w:sz="0" w:space="0" w:color="auto"/>
      </w:divBdr>
    </w:div>
    <w:div w:id="1528450335">
      <w:bodyDiv w:val="1"/>
      <w:marLeft w:val="0"/>
      <w:marRight w:val="0"/>
      <w:marTop w:val="0"/>
      <w:marBottom w:val="0"/>
      <w:divBdr>
        <w:top w:val="none" w:sz="0" w:space="0" w:color="auto"/>
        <w:left w:val="none" w:sz="0" w:space="0" w:color="auto"/>
        <w:bottom w:val="none" w:sz="0" w:space="0" w:color="auto"/>
        <w:right w:val="none" w:sz="0" w:space="0" w:color="auto"/>
      </w:divBdr>
    </w:div>
    <w:div w:id="1656646510">
      <w:bodyDiv w:val="1"/>
      <w:marLeft w:val="0"/>
      <w:marRight w:val="0"/>
      <w:marTop w:val="0"/>
      <w:marBottom w:val="0"/>
      <w:divBdr>
        <w:top w:val="none" w:sz="0" w:space="0" w:color="auto"/>
        <w:left w:val="none" w:sz="0" w:space="0" w:color="auto"/>
        <w:bottom w:val="none" w:sz="0" w:space="0" w:color="auto"/>
        <w:right w:val="none" w:sz="0" w:space="0" w:color="auto"/>
      </w:divBdr>
    </w:div>
    <w:div w:id="1658342827">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99311570">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308843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832939302">
      <w:bodyDiv w:val="1"/>
      <w:marLeft w:val="0"/>
      <w:marRight w:val="0"/>
      <w:marTop w:val="0"/>
      <w:marBottom w:val="0"/>
      <w:divBdr>
        <w:top w:val="none" w:sz="0" w:space="0" w:color="auto"/>
        <w:left w:val="none" w:sz="0" w:space="0" w:color="auto"/>
        <w:bottom w:val="none" w:sz="0" w:space="0" w:color="auto"/>
        <w:right w:val="none" w:sz="0" w:space="0" w:color="auto"/>
      </w:divBdr>
    </w:div>
    <w:div w:id="1874804802">
      <w:bodyDiv w:val="1"/>
      <w:marLeft w:val="0"/>
      <w:marRight w:val="0"/>
      <w:marTop w:val="0"/>
      <w:marBottom w:val="0"/>
      <w:divBdr>
        <w:top w:val="none" w:sz="0" w:space="0" w:color="auto"/>
        <w:left w:val="none" w:sz="0" w:space="0" w:color="auto"/>
        <w:bottom w:val="none" w:sz="0" w:space="0" w:color="auto"/>
        <w:right w:val="none" w:sz="0" w:space="0" w:color="auto"/>
      </w:divBdr>
    </w:div>
    <w:div w:id="1880896181">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3921839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302">
      <w:bodyDiv w:val="1"/>
      <w:marLeft w:val="0"/>
      <w:marRight w:val="0"/>
      <w:marTop w:val="0"/>
      <w:marBottom w:val="0"/>
      <w:divBdr>
        <w:top w:val="none" w:sz="0" w:space="0" w:color="auto"/>
        <w:left w:val="none" w:sz="0" w:space="0" w:color="auto"/>
        <w:bottom w:val="none" w:sz="0" w:space="0" w:color="auto"/>
        <w:right w:val="none" w:sz="0" w:space="0" w:color="auto"/>
      </w:divBdr>
    </w:div>
    <w:div w:id="1990360170">
      <w:bodyDiv w:val="1"/>
      <w:marLeft w:val="0"/>
      <w:marRight w:val="0"/>
      <w:marTop w:val="0"/>
      <w:marBottom w:val="0"/>
      <w:divBdr>
        <w:top w:val="none" w:sz="0" w:space="0" w:color="auto"/>
        <w:left w:val="none" w:sz="0" w:space="0" w:color="auto"/>
        <w:bottom w:val="none" w:sz="0" w:space="0" w:color="auto"/>
        <w:right w:val="none" w:sz="0" w:space="0" w:color="auto"/>
      </w:divBdr>
    </w:div>
    <w:div w:id="2017724475">
      <w:bodyDiv w:val="1"/>
      <w:marLeft w:val="0"/>
      <w:marRight w:val="0"/>
      <w:marTop w:val="0"/>
      <w:marBottom w:val="0"/>
      <w:divBdr>
        <w:top w:val="none" w:sz="0" w:space="0" w:color="auto"/>
        <w:left w:val="none" w:sz="0" w:space="0" w:color="auto"/>
        <w:bottom w:val="none" w:sz="0" w:space="0" w:color="auto"/>
        <w:right w:val="none" w:sz="0" w:space="0" w:color="auto"/>
      </w:divBdr>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xford.gov.uk/info/20029/leisure_centres_and_swimming_pools/811/free_swimming_for_young_people_aged_16_and_und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xford.gov.uk/info/20029/leisure_centres_and_swimming_pools/1456/leisure_centre_bonus_card" TargetMode="External"/><Relationship Id="rId17" Type="http://schemas.openxmlformats.org/officeDocument/2006/relationships/hyperlink" Target="https://www.getoxfordshireactive.org/oxfordcity" TargetMode="External"/><Relationship Id="rId2" Type="http://schemas.openxmlformats.org/officeDocument/2006/relationships/numbering" Target="numbering.xml"/><Relationship Id="rId16" Type="http://schemas.openxmlformats.org/officeDocument/2006/relationships/hyperlink" Target="https://www.oxford.gov.uk/directory/21/community_cent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oxford.gov.uk/youthambition/" TargetMode="Externa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xford.gov.uk/info/20029/leisure_centres_and_swimming_pools/1450/access_to_leisure_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20B1-C1CE-469D-86B1-2F1161B0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8B49903</Template>
  <TotalTime>0</TotalTime>
  <Pages>22</Pages>
  <Words>7050</Words>
  <Characters>37488</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44450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x</dc:creator>
  <cp:keywords/>
  <dc:description/>
  <cp:lastModifiedBy>TYRELL Lucy</cp:lastModifiedBy>
  <cp:revision>2</cp:revision>
  <cp:lastPrinted>2019-02-04T18:48:00Z</cp:lastPrinted>
  <dcterms:created xsi:type="dcterms:W3CDTF">2023-02-09T09:03:00Z</dcterms:created>
  <dcterms:modified xsi:type="dcterms:W3CDTF">2023-02-09T09:03:00Z</dcterms:modified>
</cp:coreProperties>
</file>